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5" w:rsidRPr="002A79F8" w:rsidRDefault="00D65965" w:rsidP="00B32323">
      <w:pPr>
        <w:pStyle w:val="Heading2"/>
        <w:rPr>
          <w:rFonts w:ascii="Arial" w:hAnsi="Arial" w:cs="Arial"/>
          <w:sz w:val="20"/>
          <w:szCs w:val="20"/>
        </w:rPr>
      </w:pPr>
      <w:bookmarkStart w:id="0" w:name="_Toc243711564"/>
    </w:p>
    <w:bookmarkEnd w:id="0"/>
    <w:p w:rsidR="00B37AC4" w:rsidRPr="00D71228" w:rsidRDefault="00C06E0C" w:rsidP="0058750A">
      <w:pPr>
        <w:pStyle w:val="Title"/>
        <w:spacing w:after="0"/>
        <w:rPr>
          <w:rFonts w:ascii="Corbel" w:hAnsi="Corbel"/>
          <w:color w:val="3E3E67" w:themeColor="accent1" w:themeShade="BF"/>
        </w:rPr>
      </w:pPr>
      <w:r w:rsidRPr="00D71228">
        <w:rPr>
          <w:rFonts w:ascii="Corbel" w:hAnsi="Corbel"/>
          <w:color w:val="3E3E67" w:themeColor="accent1" w:themeShade="BF"/>
        </w:rPr>
        <w:t xml:space="preserve">Emergency Department Data Collection </w:t>
      </w:r>
    </w:p>
    <w:p w:rsidR="00C5153D" w:rsidRPr="000811D6" w:rsidRDefault="00BC6DC6" w:rsidP="000811D6">
      <w:pPr>
        <w:pStyle w:val="Subtitle"/>
        <w:ind w:left="3600" w:firstLine="720"/>
        <w:rPr>
          <w:rFonts w:ascii="Corbel" w:hAnsi="Corbel"/>
          <w:sz w:val="28"/>
          <w:szCs w:val="28"/>
        </w:rPr>
      </w:pPr>
      <w:r w:rsidRPr="000811D6">
        <w:rPr>
          <w:rFonts w:ascii="Corbel" w:hAnsi="Corbel"/>
          <w:sz w:val="28"/>
          <w:szCs w:val="28"/>
        </w:rPr>
        <w:t>ACT Government Health Directorate</w:t>
      </w:r>
    </w:p>
    <w:p w:rsidR="00015C82" w:rsidRPr="00015C82" w:rsidRDefault="00015C82" w:rsidP="00015C82">
      <w:pPr>
        <w:jc w:val="right"/>
        <w:rPr>
          <w:rFonts w:ascii="Corbel" w:hAnsi="Corbel"/>
          <w:color w:val="3E3E67" w:themeColor="accent1" w:themeShade="BF"/>
          <w:sz w:val="36"/>
          <w:szCs w:val="36"/>
        </w:rPr>
      </w:pPr>
    </w:p>
    <w:p w:rsidR="00B42EB0" w:rsidRPr="000044DE" w:rsidRDefault="00B42EB0"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Background</w:t>
      </w:r>
    </w:p>
    <w:p w:rsidR="00F83DDD" w:rsidRPr="00D71228" w:rsidRDefault="009157DF" w:rsidP="000F2F12">
      <w:pPr>
        <w:pStyle w:val="ListParagraph"/>
        <w:spacing w:after="0" w:line="240" w:lineRule="auto"/>
        <w:ind w:left="0"/>
        <w:rPr>
          <w:sz w:val="24"/>
          <w:szCs w:val="24"/>
        </w:rPr>
      </w:pPr>
      <w:r w:rsidRPr="00D71228">
        <w:rPr>
          <w:sz w:val="24"/>
          <w:szCs w:val="24"/>
        </w:rPr>
        <w:t>The primary purpose</w:t>
      </w:r>
      <w:r w:rsidR="00F83DDD" w:rsidRPr="00D71228">
        <w:rPr>
          <w:sz w:val="24"/>
          <w:szCs w:val="24"/>
        </w:rPr>
        <w:t xml:space="preserve"> of collecting Emergency Department data in </w:t>
      </w:r>
      <w:r w:rsidR="00BC6DC6">
        <w:rPr>
          <w:sz w:val="24"/>
          <w:szCs w:val="24"/>
        </w:rPr>
        <w:t>ACT</w:t>
      </w:r>
      <w:r w:rsidR="00F83DDD" w:rsidRPr="00D71228">
        <w:rPr>
          <w:sz w:val="24"/>
          <w:szCs w:val="24"/>
        </w:rPr>
        <w:t xml:space="preserve"> </w:t>
      </w:r>
      <w:r w:rsidRPr="00D71228">
        <w:rPr>
          <w:sz w:val="24"/>
          <w:szCs w:val="24"/>
        </w:rPr>
        <w:t>is</w:t>
      </w:r>
      <w:r w:rsidR="00F83DDD" w:rsidRPr="00D71228">
        <w:rPr>
          <w:sz w:val="24"/>
          <w:szCs w:val="24"/>
        </w:rPr>
        <w:t xml:space="preserve"> to:</w:t>
      </w:r>
    </w:p>
    <w:p w:rsidR="00F83DDD" w:rsidRPr="00D71228" w:rsidRDefault="00F83DDD" w:rsidP="000F2F12">
      <w:pPr>
        <w:pStyle w:val="ListParagraph"/>
        <w:numPr>
          <w:ilvl w:val="0"/>
          <w:numId w:val="8"/>
        </w:numPr>
        <w:spacing w:after="0" w:line="240" w:lineRule="auto"/>
        <w:ind w:left="737"/>
        <w:rPr>
          <w:sz w:val="24"/>
          <w:szCs w:val="24"/>
        </w:rPr>
      </w:pPr>
      <w:r w:rsidRPr="00D71228">
        <w:rPr>
          <w:sz w:val="24"/>
          <w:szCs w:val="24"/>
        </w:rPr>
        <w:t>Assist clinicians in the management of patients; and</w:t>
      </w:r>
    </w:p>
    <w:p w:rsidR="000F2F12" w:rsidRDefault="00F83DDD" w:rsidP="000F2F12">
      <w:pPr>
        <w:pStyle w:val="ListParagraph"/>
        <w:numPr>
          <w:ilvl w:val="0"/>
          <w:numId w:val="8"/>
        </w:numPr>
        <w:spacing w:after="0" w:line="240" w:lineRule="auto"/>
        <w:ind w:left="737"/>
        <w:rPr>
          <w:sz w:val="24"/>
          <w:szCs w:val="24"/>
        </w:rPr>
      </w:pPr>
      <w:r w:rsidRPr="00D71228">
        <w:rPr>
          <w:sz w:val="24"/>
          <w:szCs w:val="24"/>
        </w:rPr>
        <w:t>Enable comparisons of performance in respect to access to services, quality clinical outcomes, patient management, customer satisfaction and cost effectiveness</w:t>
      </w:r>
      <w:r w:rsidR="00B42EB0" w:rsidRPr="00D71228">
        <w:rPr>
          <w:sz w:val="24"/>
          <w:szCs w:val="24"/>
        </w:rPr>
        <w:t>.</w:t>
      </w:r>
    </w:p>
    <w:p w:rsidR="00C5153D" w:rsidRPr="00373EB1" w:rsidRDefault="000F2F12" w:rsidP="000F2F12">
      <w:pPr>
        <w:spacing w:after="0" w:line="240" w:lineRule="auto"/>
        <w:rPr>
          <w:sz w:val="24"/>
          <w:szCs w:val="24"/>
        </w:rPr>
      </w:pPr>
      <w:r w:rsidRPr="00373EB1">
        <w:rPr>
          <w:sz w:val="24"/>
          <w:szCs w:val="24"/>
        </w:rPr>
        <w:t>Each record in the collection represents a presentation to an emergency department.</w:t>
      </w:r>
    </w:p>
    <w:p w:rsidR="000F2F12" w:rsidRPr="000F2F12" w:rsidRDefault="000F2F12" w:rsidP="000F2F12">
      <w:pPr>
        <w:spacing w:after="0" w:line="240" w:lineRule="auto"/>
        <w:rPr>
          <w:sz w:val="24"/>
          <w:szCs w:val="24"/>
        </w:rPr>
      </w:pPr>
    </w:p>
    <w:p w:rsidR="00A26B43" w:rsidRPr="000044DE" w:rsidRDefault="00C5153D"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ED coverage</w:t>
      </w:r>
    </w:p>
    <w:p w:rsidR="00C5153D" w:rsidRPr="00D71228" w:rsidRDefault="00C5153D" w:rsidP="00D71228">
      <w:pPr>
        <w:pStyle w:val="ListParagraph"/>
        <w:numPr>
          <w:ilvl w:val="0"/>
          <w:numId w:val="9"/>
        </w:numPr>
        <w:spacing w:line="240" w:lineRule="auto"/>
        <w:ind w:left="737"/>
        <w:rPr>
          <w:sz w:val="24"/>
          <w:szCs w:val="24"/>
        </w:rPr>
      </w:pPr>
      <w:r w:rsidRPr="00D71228">
        <w:rPr>
          <w:sz w:val="24"/>
          <w:szCs w:val="24"/>
        </w:rPr>
        <w:t>The E</w:t>
      </w:r>
      <w:r w:rsidR="004B5B1E">
        <w:rPr>
          <w:sz w:val="24"/>
          <w:szCs w:val="24"/>
        </w:rPr>
        <w:t xml:space="preserve">mergency </w:t>
      </w:r>
      <w:r w:rsidRPr="00D71228">
        <w:rPr>
          <w:sz w:val="24"/>
          <w:szCs w:val="24"/>
        </w:rPr>
        <w:t>D</w:t>
      </w:r>
      <w:r w:rsidR="004B5B1E">
        <w:rPr>
          <w:sz w:val="24"/>
          <w:szCs w:val="24"/>
        </w:rPr>
        <w:t xml:space="preserve">epartment </w:t>
      </w:r>
      <w:r w:rsidRPr="00D71228">
        <w:rPr>
          <w:sz w:val="24"/>
          <w:szCs w:val="24"/>
        </w:rPr>
        <w:t>D</w:t>
      </w:r>
      <w:r w:rsidR="004B5B1E">
        <w:rPr>
          <w:sz w:val="24"/>
          <w:szCs w:val="24"/>
        </w:rPr>
        <w:t xml:space="preserve">ata </w:t>
      </w:r>
      <w:r w:rsidRPr="00D71228">
        <w:rPr>
          <w:sz w:val="24"/>
          <w:szCs w:val="24"/>
        </w:rPr>
        <w:t>C</w:t>
      </w:r>
      <w:r w:rsidR="004B5B1E">
        <w:rPr>
          <w:sz w:val="24"/>
          <w:szCs w:val="24"/>
        </w:rPr>
        <w:t>ollection (EDDC)</w:t>
      </w:r>
      <w:r w:rsidRPr="00D71228">
        <w:rPr>
          <w:sz w:val="24"/>
          <w:szCs w:val="24"/>
        </w:rPr>
        <w:t xml:space="preserve"> commenced in </w:t>
      </w:r>
      <w:r w:rsidR="006872AA">
        <w:rPr>
          <w:sz w:val="24"/>
          <w:szCs w:val="24"/>
        </w:rPr>
        <w:t>2000</w:t>
      </w:r>
      <w:r w:rsidRPr="00D71228">
        <w:rPr>
          <w:sz w:val="24"/>
          <w:szCs w:val="24"/>
        </w:rPr>
        <w:t xml:space="preserve">, but </w:t>
      </w:r>
      <w:r w:rsidR="006872AA">
        <w:rPr>
          <w:sz w:val="24"/>
          <w:szCs w:val="24"/>
        </w:rPr>
        <w:t>is only available through the Master Linkage Key from July 200</w:t>
      </w:r>
      <w:r w:rsidR="002F1C2B">
        <w:rPr>
          <w:sz w:val="24"/>
          <w:szCs w:val="24"/>
        </w:rPr>
        <w:t>5</w:t>
      </w:r>
      <w:r w:rsidRPr="00D71228">
        <w:rPr>
          <w:sz w:val="24"/>
          <w:szCs w:val="24"/>
        </w:rPr>
        <w:t xml:space="preserve">. </w:t>
      </w:r>
    </w:p>
    <w:p w:rsidR="00486DF6" w:rsidRPr="00A9218D" w:rsidRDefault="00C5153D" w:rsidP="00A9218D">
      <w:pPr>
        <w:pStyle w:val="ListParagraph"/>
        <w:ind w:left="737"/>
        <w:rPr>
          <w:sz w:val="24"/>
          <w:szCs w:val="24"/>
        </w:rPr>
      </w:pPr>
      <w:r w:rsidRPr="00A9218D">
        <w:rPr>
          <w:sz w:val="24"/>
          <w:szCs w:val="24"/>
        </w:rPr>
        <w:t>The</w:t>
      </w:r>
      <w:r w:rsidR="006872AA" w:rsidRPr="00A9218D">
        <w:rPr>
          <w:sz w:val="24"/>
          <w:szCs w:val="24"/>
        </w:rPr>
        <w:t>re are two</w:t>
      </w:r>
      <w:r w:rsidRPr="00A9218D">
        <w:rPr>
          <w:sz w:val="24"/>
          <w:szCs w:val="24"/>
        </w:rPr>
        <w:t xml:space="preserve"> participating E</w:t>
      </w:r>
      <w:r w:rsidR="004B5B1E" w:rsidRPr="00A9218D">
        <w:rPr>
          <w:sz w:val="24"/>
          <w:szCs w:val="24"/>
        </w:rPr>
        <w:t xml:space="preserve">mergency </w:t>
      </w:r>
      <w:r w:rsidRPr="00A9218D">
        <w:rPr>
          <w:sz w:val="24"/>
          <w:szCs w:val="24"/>
        </w:rPr>
        <w:t>D</w:t>
      </w:r>
      <w:r w:rsidR="004B5B1E" w:rsidRPr="00A9218D">
        <w:rPr>
          <w:sz w:val="24"/>
          <w:szCs w:val="24"/>
        </w:rPr>
        <w:t>epartment</w:t>
      </w:r>
      <w:r w:rsidRPr="00A9218D">
        <w:rPr>
          <w:sz w:val="24"/>
          <w:szCs w:val="24"/>
        </w:rPr>
        <w:t xml:space="preserve">s </w:t>
      </w:r>
      <w:r w:rsidR="006872AA" w:rsidRPr="00A9218D">
        <w:rPr>
          <w:sz w:val="24"/>
          <w:szCs w:val="24"/>
        </w:rPr>
        <w:t>in the ACT, one at each public hospital</w:t>
      </w:r>
      <w:r w:rsidR="00BF6C86" w:rsidRPr="00A9218D">
        <w:rPr>
          <w:sz w:val="24"/>
          <w:szCs w:val="24"/>
        </w:rPr>
        <w:t xml:space="preserve"> (Canberra and Calvary)</w:t>
      </w:r>
      <w:r w:rsidRPr="00A9218D">
        <w:rPr>
          <w:sz w:val="24"/>
          <w:szCs w:val="24"/>
        </w:rPr>
        <w:t>.</w:t>
      </w:r>
      <w:r w:rsidR="00AB788E" w:rsidRPr="00A9218D">
        <w:rPr>
          <w:sz w:val="24"/>
          <w:szCs w:val="24"/>
        </w:rPr>
        <w:t xml:space="preserve"> </w:t>
      </w:r>
    </w:p>
    <w:p w:rsidR="00A26B43" w:rsidRPr="000044DE" w:rsidRDefault="00A26B43"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Diagnosis coding</w:t>
      </w:r>
      <w:r w:rsidR="00262170">
        <w:rPr>
          <w:rFonts w:ascii="Corbel" w:hAnsi="Corbel"/>
          <w:color w:val="3E3E67" w:themeColor="accent1" w:themeShade="BF"/>
          <w:sz w:val="28"/>
          <w:szCs w:val="28"/>
        </w:rPr>
        <w:t xml:space="preserve"> </w:t>
      </w:r>
    </w:p>
    <w:p w:rsidR="00A26B43" w:rsidRDefault="00A26B43" w:rsidP="00D71228">
      <w:pPr>
        <w:spacing w:line="240" w:lineRule="auto"/>
        <w:rPr>
          <w:sz w:val="24"/>
          <w:szCs w:val="24"/>
        </w:rPr>
      </w:pPr>
      <w:r w:rsidRPr="00D71228">
        <w:rPr>
          <w:sz w:val="24"/>
          <w:szCs w:val="24"/>
        </w:rPr>
        <w:t xml:space="preserve">The </w:t>
      </w:r>
      <w:r w:rsidR="00BC6DC6">
        <w:rPr>
          <w:sz w:val="24"/>
          <w:szCs w:val="24"/>
        </w:rPr>
        <w:t>ACT</w:t>
      </w:r>
      <w:r w:rsidRPr="00D71228">
        <w:rPr>
          <w:sz w:val="24"/>
          <w:szCs w:val="24"/>
        </w:rPr>
        <w:t xml:space="preserve"> Admitted Patient Data Collection has diagnoses coded by trained clinical information managers who choose diagnoses from the Australian clinical version of the International Classification of Diseases (ICD).  The EDDC, on the other hand, has diagnoses recorded by medical, nursing or clerical personnel at the point of care. These personnel are not trained in clinical coding.  The diagnoses are selected by keyword searching or tables of a limited set of diagnoses. The codes are assigned to the chosen diagnosis using tables built into the computer database program.</w:t>
      </w:r>
    </w:p>
    <w:p w:rsidR="000044DE" w:rsidRPr="00D71228" w:rsidRDefault="000044DE" w:rsidP="00D71228">
      <w:pPr>
        <w:spacing w:line="240" w:lineRule="auto"/>
        <w:rPr>
          <w:sz w:val="24"/>
          <w:szCs w:val="24"/>
        </w:rPr>
      </w:pPr>
      <w:r>
        <w:rPr>
          <w:sz w:val="24"/>
          <w:szCs w:val="24"/>
        </w:rPr>
        <w:t>Other points to note are:</w:t>
      </w:r>
    </w:p>
    <w:p w:rsidR="00A26B43" w:rsidRPr="00D71228" w:rsidRDefault="00A26B43" w:rsidP="00D71228">
      <w:pPr>
        <w:pStyle w:val="ListParagraph"/>
        <w:numPr>
          <w:ilvl w:val="0"/>
          <w:numId w:val="11"/>
        </w:numPr>
        <w:spacing w:line="240" w:lineRule="auto"/>
        <w:rPr>
          <w:sz w:val="24"/>
          <w:szCs w:val="24"/>
        </w:rPr>
      </w:pPr>
      <w:r w:rsidRPr="00D71228">
        <w:rPr>
          <w:sz w:val="24"/>
          <w:szCs w:val="24"/>
        </w:rPr>
        <w:t xml:space="preserve">There are </w:t>
      </w:r>
      <w:r w:rsidR="006872AA">
        <w:rPr>
          <w:sz w:val="24"/>
          <w:szCs w:val="24"/>
        </w:rPr>
        <w:t>two</w:t>
      </w:r>
      <w:r w:rsidRPr="00D71228">
        <w:rPr>
          <w:sz w:val="24"/>
          <w:szCs w:val="24"/>
        </w:rPr>
        <w:t xml:space="preserve"> different computer programs used in </w:t>
      </w:r>
      <w:r w:rsidR="00BC6DC6">
        <w:rPr>
          <w:sz w:val="24"/>
          <w:szCs w:val="24"/>
        </w:rPr>
        <w:t>ACT</w:t>
      </w:r>
      <w:r w:rsidRPr="00D71228">
        <w:rPr>
          <w:sz w:val="24"/>
          <w:szCs w:val="24"/>
        </w:rPr>
        <w:t xml:space="preserve"> EDs. </w:t>
      </w:r>
      <w:r w:rsidR="000044DE">
        <w:rPr>
          <w:sz w:val="24"/>
          <w:szCs w:val="24"/>
        </w:rPr>
        <w:t xml:space="preserve"> </w:t>
      </w:r>
      <w:r w:rsidRPr="00D71228">
        <w:rPr>
          <w:sz w:val="24"/>
          <w:szCs w:val="24"/>
        </w:rPr>
        <w:t xml:space="preserve">Different programs use different classifications to record the diagnosis, including ICD-9, ICD-10, or SNOMED CT (see </w:t>
      </w:r>
      <w:hyperlink r:id="rId10" w:history="1">
        <w:r w:rsidRPr="00D71228">
          <w:rPr>
            <w:rStyle w:val="Hyperlink"/>
            <w:sz w:val="24"/>
            <w:szCs w:val="24"/>
          </w:rPr>
          <w:t>https://nehta.org.au/aht/</w:t>
        </w:r>
      </w:hyperlink>
      <w:r w:rsidRPr="00D71228">
        <w:rPr>
          <w:sz w:val="24"/>
          <w:szCs w:val="24"/>
        </w:rPr>
        <w:t>). If you intend analysing ED diagnoses, you need to determine the codes from each of these classifications that relate to the disease or symptom grouping to be studied.</w:t>
      </w:r>
    </w:p>
    <w:p w:rsidR="00A26B43" w:rsidRPr="00D71228" w:rsidRDefault="00A26B43" w:rsidP="00A26B43">
      <w:pPr>
        <w:pStyle w:val="ListParagraph"/>
        <w:numPr>
          <w:ilvl w:val="0"/>
          <w:numId w:val="11"/>
        </w:numPr>
        <w:rPr>
          <w:sz w:val="24"/>
          <w:szCs w:val="24"/>
        </w:rPr>
      </w:pPr>
      <w:r w:rsidRPr="00D71228">
        <w:rPr>
          <w:sz w:val="24"/>
          <w:szCs w:val="24"/>
        </w:rPr>
        <w:t>Variation in computer programs and management practices at EDs may lead to variation in diagnosis coding practices. Some disease categories are not available in some programs but may be in others.</w:t>
      </w:r>
    </w:p>
    <w:p w:rsidR="00A26B43" w:rsidRDefault="000044DE" w:rsidP="00A26B43">
      <w:pPr>
        <w:pStyle w:val="ListParagraph"/>
        <w:numPr>
          <w:ilvl w:val="0"/>
          <w:numId w:val="11"/>
        </w:numPr>
        <w:rPr>
          <w:sz w:val="24"/>
          <w:szCs w:val="24"/>
        </w:rPr>
      </w:pPr>
      <w:r>
        <w:rPr>
          <w:sz w:val="24"/>
          <w:szCs w:val="24"/>
        </w:rPr>
        <w:t>S</w:t>
      </w:r>
      <w:r w:rsidR="00A26B43" w:rsidRPr="00D71228">
        <w:rPr>
          <w:sz w:val="24"/>
          <w:szCs w:val="24"/>
        </w:rPr>
        <w:t>ymptoms can be</w:t>
      </w:r>
      <w:r>
        <w:rPr>
          <w:sz w:val="24"/>
          <w:szCs w:val="24"/>
        </w:rPr>
        <w:t>, and often are, selected as diagnoses</w:t>
      </w:r>
      <w:r w:rsidR="00A26B43" w:rsidRPr="00D71228">
        <w:rPr>
          <w:sz w:val="24"/>
          <w:szCs w:val="24"/>
        </w:rPr>
        <w:t xml:space="preserve">. </w:t>
      </w:r>
    </w:p>
    <w:p w:rsidR="00AF1C84" w:rsidRDefault="00AF1C84" w:rsidP="00A26B43">
      <w:pPr>
        <w:pStyle w:val="ListParagraph"/>
        <w:numPr>
          <w:ilvl w:val="0"/>
          <w:numId w:val="11"/>
        </w:numPr>
        <w:rPr>
          <w:sz w:val="24"/>
          <w:szCs w:val="24"/>
        </w:rPr>
      </w:pPr>
      <w:r>
        <w:rPr>
          <w:sz w:val="24"/>
          <w:szCs w:val="24"/>
        </w:rPr>
        <w:t>Diagnoses c</w:t>
      </w:r>
      <w:r w:rsidR="0068207C">
        <w:rPr>
          <w:sz w:val="24"/>
          <w:szCs w:val="24"/>
        </w:rPr>
        <w:t>an be very specific or very broad</w:t>
      </w:r>
      <w:r>
        <w:rPr>
          <w:sz w:val="24"/>
          <w:szCs w:val="24"/>
        </w:rPr>
        <w:t xml:space="preserve">. For example, someone with the same symptoms might be assigned a diagnosis of "influenza" or "viral infection". </w:t>
      </w:r>
    </w:p>
    <w:p w:rsidR="00A26B43" w:rsidRPr="000044DE" w:rsidRDefault="00A26B43"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lastRenderedPageBreak/>
        <w:t>Other limitations</w:t>
      </w:r>
    </w:p>
    <w:p w:rsidR="00A26B43" w:rsidRPr="00D71228" w:rsidRDefault="00A26B43" w:rsidP="00A26B43">
      <w:pPr>
        <w:pStyle w:val="ListParagraph"/>
        <w:numPr>
          <w:ilvl w:val="0"/>
          <w:numId w:val="10"/>
        </w:numPr>
        <w:rPr>
          <w:sz w:val="24"/>
          <w:szCs w:val="24"/>
        </w:rPr>
      </w:pPr>
      <w:r w:rsidRPr="00D71228">
        <w:rPr>
          <w:sz w:val="24"/>
          <w:szCs w:val="24"/>
        </w:rPr>
        <w:t>The other main source of primary care in Australia is general practice services. Because of variability in GP service availability, limited consultation hours and variation in bulk billing practices, ED activity may be very sensitive to availability of GP services.</w:t>
      </w:r>
    </w:p>
    <w:p w:rsidR="00F83DDD" w:rsidRPr="00DA6C08" w:rsidRDefault="00A26B43" w:rsidP="00F83DDD">
      <w:pPr>
        <w:pStyle w:val="ListParagraph"/>
        <w:numPr>
          <w:ilvl w:val="0"/>
          <w:numId w:val="10"/>
        </w:numPr>
        <w:rPr>
          <w:sz w:val="24"/>
          <w:szCs w:val="24"/>
        </w:rPr>
      </w:pPr>
      <w:r w:rsidRPr="00D71228">
        <w:rPr>
          <w:sz w:val="24"/>
          <w:szCs w:val="24"/>
        </w:rPr>
        <w:t>Emergency Department</w:t>
      </w:r>
      <w:r w:rsidR="009157DF" w:rsidRPr="00D71228">
        <w:rPr>
          <w:sz w:val="24"/>
          <w:szCs w:val="24"/>
        </w:rPr>
        <w:t>s</w:t>
      </w:r>
      <w:r w:rsidRPr="00D71228">
        <w:rPr>
          <w:sz w:val="24"/>
          <w:szCs w:val="24"/>
        </w:rPr>
        <w:t xml:space="preserve"> have different visit types, the most common being an "Emergency Visit". </w:t>
      </w:r>
    </w:p>
    <w:p w:rsidR="00D71228" w:rsidRPr="000044DE" w:rsidRDefault="00D71228" w:rsidP="00D71228">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Tips for using Emergency Department data in linkage studies</w:t>
      </w:r>
    </w:p>
    <w:p w:rsidR="00D71228" w:rsidRDefault="00D71228" w:rsidP="00F83DDD">
      <w:pPr>
        <w:pStyle w:val="ListParagraph"/>
        <w:numPr>
          <w:ilvl w:val="0"/>
          <w:numId w:val="7"/>
        </w:numPr>
        <w:ind w:left="737"/>
        <w:rPr>
          <w:sz w:val="24"/>
          <w:szCs w:val="24"/>
        </w:rPr>
      </w:pPr>
      <w:r w:rsidRPr="00D71228">
        <w:rPr>
          <w:sz w:val="24"/>
          <w:szCs w:val="24"/>
        </w:rPr>
        <w:t>The EDDC has substantial limitations.  These limitations must be considered when planning a study using ED data, and in particular, when interpreting and presenting the data</w:t>
      </w:r>
    </w:p>
    <w:p w:rsidR="00A9218D" w:rsidRDefault="00A9218D" w:rsidP="00F83DDD">
      <w:pPr>
        <w:pStyle w:val="ListParagraph"/>
        <w:numPr>
          <w:ilvl w:val="0"/>
          <w:numId w:val="7"/>
        </w:numPr>
        <w:ind w:left="737"/>
        <w:rPr>
          <w:sz w:val="24"/>
          <w:szCs w:val="24"/>
        </w:rPr>
      </w:pPr>
      <w:r>
        <w:rPr>
          <w:sz w:val="24"/>
          <w:szCs w:val="24"/>
        </w:rPr>
        <w:t xml:space="preserve">Data are available from all public hospitals in the ACT. </w:t>
      </w:r>
    </w:p>
    <w:p w:rsidR="00AB788E" w:rsidRDefault="00AB788E" w:rsidP="00F437B9">
      <w:pPr>
        <w:pStyle w:val="ListParagraph"/>
        <w:numPr>
          <w:ilvl w:val="0"/>
          <w:numId w:val="7"/>
        </w:numPr>
        <w:ind w:left="709" w:hanging="283"/>
        <w:rPr>
          <w:sz w:val="24"/>
          <w:szCs w:val="24"/>
        </w:rPr>
      </w:pPr>
      <w:r>
        <w:rPr>
          <w:sz w:val="24"/>
          <w:szCs w:val="24"/>
        </w:rPr>
        <w:t xml:space="preserve">Access to data from Canberra and Calvary hospitals needs to be sought separately. Please see </w:t>
      </w:r>
      <w:r w:rsidR="00FB3735">
        <w:rPr>
          <w:sz w:val="24"/>
          <w:szCs w:val="24"/>
        </w:rPr>
        <w:t>the CHeReL website ‘Apply for linked data’ page for more information (</w:t>
      </w:r>
      <w:hyperlink r:id="rId11" w:history="1">
        <w:r w:rsidR="00FB3735" w:rsidRPr="009A71D1">
          <w:rPr>
            <w:rStyle w:val="Hyperlink"/>
            <w:sz w:val="24"/>
            <w:szCs w:val="24"/>
          </w:rPr>
          <w:t>http://www.cherel.org.au/apply-for-linked-data</w:t>
        </w:r>
      </w:hyperlink>
      <w:r w:rsidR="00FB3735">
        <w:rPr>
          <w:sz w:val="24"/>
          <w:szCs w:val="24"/>
        </w:rPr>
        <w:t>) or speak to the CHeReL Research Project Manager (</w:t>
      </w:r>
      <w:hyperlink r:id="rId12" w:history="1">
        <w:r w:rsidR="00FB3735" w:rsidRPr="009A71D1">
          <w:rPr>
            <w:rStyle w:val="Hyperlink"/>
            <w:sz w:val="24"/>
            <w:szCs w:val="24"/>
          </w:rPr>
          <w:t>cherel.mail@moh.health.nsw.gov.au</w:t>
        </w:r>
      </w:hyperlink>
      <w:r w:rsidR="00FB3735">
        <w:rPr>
          <w:sz w:val="24"/>
          <w:szCs w:val="24"/>
        </w:rPr>
        <w:t xml:space="preserve">). </w:t>
      </w:r>
    </w:p>
    <w:p w:rsidR="000044DE" w:rsidRPr="000044DE" w:rsidRDefault="000044DE" w:rsidP="000044DE">
      <w:pPr>
        <w:pStyle w:val="ListParagraph"/>
        <w:ind w:left="737"/>
        <w:rPr>
          <w:sz w:val="24"/>
          <w:szCs w:val="24"/>
        </w:rPr>
      </w:pPr>
    </w:p>
    <w:p w:rsidR="00F83DDD" w:rsidRPr="000044DE" w:rsidRDefault="00F83DDD" w:rsidP="00F437B9">
      <w:pPr>
        <w:pStyle w:val="Heading3"/>
        <w:spacing w:before="0" w:line="240" w:lineRule="auto"/>
        <w:rPr>
          <w:rFonts w:ascii="Corbel" w:hAnsi="Corbel"/>
          <w:color w:val="3E3E67" w:themeColor="accent1" w:themeShade="BF"/>
          <w:sz w:val="28"/>
          <w:szCs w:val="28"/>
        </w:rPr>
      </w:pPr>
      <w:r w:rsidRPr="000044DE">
        <w:rPr>
          <w:rFonts w:ascii="Corbel" w:hAnsi="Corbel"/>
          <w:color w:val="3E3E67" w:themeColor="accent1" w:themeShade="BF"/>
          <w:sz w:val="28"/>
          <w:szCs w:val="28"/>
        </w:rPr>
        <w:t>Data custodian</w:t>
      </w:r>
      <w:r w:rsidR="00AB788E">
        <w:rPr>
          <w:rFonts w:ascii="Corbel" w:hAnsi="Corbel"/>
          <w:color w:val="3E3E67" w:themeColor="accent1" w:themeShade="BF"/>
          <w:sz w:val="28"/>
          <w:szCs w:val="28"/>
        </w:rPr>
        <w:t xml:space="preserve"> – Canberra Hospital</w:t>
      </w:r>
    </w:p>
    <w:p w:rsidR="006872AA" w:rsidRDefault="00164EE2" w:rsidP="00AB788E">
      <w:pPr>
        <w:spacing w:after="0" w:line="240" w:lineRule="auto"/>
        <w:rPr>
          <w:sz w:val="24"/>
          <w:szCs w:val="24"/>
        </w:rPr>
      </w:pPr>
      <w:r>
        <w:rPr>
          <w:sz w:val="24"/>
          <w:szCs w:val="24"/>
        </w:rPr>
        <w:t>Director-General</w:t>
      </w:r>
    </w:p>
    <w:p w:rsidR="006872AA" w:rsidRDefault="006872AA" w:rsidP="006872AA">
      <w:pPr>
        <w:spacing w:after="0" w:line="240" w:lineRule="auto"/>
        <w:rPr>
          <w:sz w:val="24"/>
          <w:szCs w:val="24"/>
        </w:rPr>
      </w:pPr>
      <w:r>
        <w:rPr>
          <w:sz w:val="24"/>
          <w:szCs w:val="24"/>
        </w:rPr>
        <w:t>ACT Government Health Directorate</w:t>
      </w:r>
    </w:p>
    <w:p w:rsidR="006872AA" w:rsidRDefault="006872AA" w:rsidP="006872AA">
      <w:pPr>
        <w:spacing w:after="0" w:line="240" w:lineRule="auto"/>
        <w:rPr>
          <w:sz w:val="24"/>
          <w:szCs w:val="24"/>
        </w:rPr>
      </w:pPr>
    </w:p>
    <w:p w:rsidR="006872AA" w:rsidRDefault="006872AA" w:rsidP="006872AA">
      <w:pPr>
        <w:spacing w:after="0" w:line="240" w:lineRule="auto"/>
        <w:rPr>
          <w:sz w:val="24"/>
          <w:szCs w:val="24"/>
        </w:rPr>
      </w:pPr>
      <w:r>
        <w:rPr>
          <w:sz w:val="24"/>
          <w:szCs w:val="24"/>
        </w:rPr>
        <w:t>via Julie Searle</w:t>
      </w:r>
    </w:p>
    <w:p w:rsidR="006872AA" w:rsidRDefault="006872AA" w:rsidP="006872AA">
      <w:pPr>
        <w:spacing w:after="0" w:line="240" w:lineRule="auto"/>
        <w:rPr>
          <w:sz w:val="24"/>
          <w:szCs w:val="24"/>
        </w:rPr>
      </w:pPr>
      <w:r>
        <w:rPr>
          <w:sz w:val="24"/>
          <w:szCs w:val="24"/>
        </w:rPr>
        <w:t>Manager Business Services</w:t>
      </w:r>
    </w:p>
    <w:p w:rsidR="006872AA" w:rsidRDefault="006872AA" w:rsidP="006872AA">
      <w:pPr>
        <w:spacing w:after="0" w:line="240" w:lineRule="auto"/>
        <w:rPr>
          <w:sz w:val="24"/>
          <w:szCs w:val="24"/>
        </w:rPr>
      </w:pPr>
      <w:r>
        <w:rPr>
          <w:sz w:val="24"/>
          <w:szCs w:val="24"/>
        </w:rPr>
        <w:t>Information Management Services</w:t>
      </w:r>
    </w:p>
    <w:p w:rsidR="006872AA" w:rsidRDefault="006872AA" w:rsidP="006872AA">
      <w:pPr>
        <w:spacing w:after="0" w:line="240" w:lineRule="auto"/>
        <w:rPr>
          <w:sz w:val="24"/>
          <w:szCs w:val="24"/>
        </w:rPr>
      </w:pPr>
      <w:r>
        <w:rPr>
          <w:sz w:val="24"/>
          <w:szCs w:val="24"/>
        </w:rPr>
        <w:t>Performance and Innovation</w:t>
      </w:r>
    </w:p>
    <w:p w:rsidR="006872AA" w:rsidRDefault="006872AA" w:rsidP="006872AA">
      <w:pPr>
        <w:spacing w:after="0" w:line="240" w:lineRule="auto"/>
        <w:rPr>
          <w:sz w:val="24"/>
          <w:szCs w:val="24"/>
        </w:rPr>
      </w:pPr>
      <w:r>
        <w:rPr>
          <w:sz w:val="24"/>
          <w:szCs w:val="24"/>
        </w:rPr>
        <w:t>GPO Box 825</w:t>
      </w:r>
    </w:p>
    <w:p w:rsidR="006872AA" w:rsidRDefault="006872AA" w:rsidP="006872AA">
      <w:pPr>
        <w:spacing w:after="0" w:line="240" w:lineRule="auto"/>
        <w:rPr>
          <w:sz w:val="24"/>
          <w:szCs w:val="24"/>
        </w:rPr>
      </w:pPr>
      <w:r>
        <w:rPr>
          <w:sz w:val="24"/>
          <w:szCs w:val="24"/>
        </w:rPr>
        <w:t>Canberra City ACT 2601</w:t>
      </w:r>
    </w:p>
    <w:p w:rsidR="006872AA" w:rsidRPr="004705CB" w:rsidRDefault="006872AA" w:rsidP="006872AA">
      <w:pPr>
        <w:spacing w:after="0" w:line="240" w:lineRule="auto"/>
        <w:rPr>
          <w:sz w:val="24"/>
          <w:szCs w:val="24"/>
        </w:rPr>
      </w:pPr>
      <w:r w:rsidRPr="004705CB">
        <w:rPr>
          <w:sz w:val="24"/>
          <w:szCs w:val="24"/>
        </w:rPr>
        <w:t xml:space="preserve">Tel: </w:t>
      </w:r>
      <w:r w:rsidR="009F436C" w:rsidRPr="009F436C">
        <w:rPr>
          <w:sz w:val="24"/>
          <w:szCs w:val="24"/>
          <w:lang w:bidi="en-US"/>
        </w:rPr>
        <w:t>02 6207 9179</w:t>
      </w:r>
    </w:p>
    <w:p w:rsidR="006872AA" w:rsidRPr="004705CB" w:rsidRDefault="006872AA" w:rsidP="006872AA">
      <w:pPr>
        <w:spacing w:after="0" w:line="240" w:lineRule="auto"/>
        <w:rPr>
          <w:sz w:val="24"/>
          <w:szCs w:val="24"/>
        </w:rPr>
      </w:pPr>
      <w:r w:rsidRPr="004705CB">
        <w:rPr>
          <w:sz w:val="24"/>
          <w:szCs w:val="24"/>
        </w:rPr>
        <w:t xml:space="preserve">Email: </w:t>
      </w:r>
      <w:hyperlink r:id="rId13" w:history="1">
        <w:r w:rsidRPr="002B00C5">
          <w:rPr>
            <w:rStyle w:val="Hyperlink"/>
            <w:sz w:val="24"/>
            <w:szCs w:val="24"/>
          </w:rPr>
          <w:t>dmu.data@act.gov.au</w:t>
        </w:r>
      </w:hyperlink>
      <w:r>
        <w:rPr>
          <w:sz w:val="24"/>
          <w:szCs w:val="24"/>
        </w:rPr>
        <w:t xml:space="preserve"> </w:t>
      </w:r>
    </w:p>
    <w:p w:rsidR="00F83DDD" w:rsidRDefault="00F83DDD" w:rsidP="00B42EB0">
      <w:pPr>
        <w:rPr>
          <w:rFonts w:ascii="Arial" w:hAnsi="Arial" w:cs="Arial"/>
          <w:sz w:val="20"/>
          <w:szCs w:val="20"/>
        </w:rPr>
      </w:pPr>
    </w:p>
    <w:p w:rsidR="00AB788E" w:rsidRPr="000044DE" w:rsidRDefault="00AB788E" w:rsidP="00AB788E">
      <w:pPr>
        <w:pStyle w:val="Heading3"/>
        <w:rPr>
          <w:rFonts w:ascii="Corbel" w:hAnsi="Corbel"/>
          <w:color w:val="3E3E67" w:themeColor="accent1" w:themeShade="BF"/>
          <w:sz w:val="28"/>
          <w:szCs w:val="28"/>
        </w:rPr>
      </w:pPr>
      <w:r w:rsidRPr="000044DE">
        <w:rPr>
          <w:rFonts w:ascii="Corbel" w:hAnsi="Corbel"/>
          <w:color w:val="3E3E67" w:themeColor="accent1" w:themeShade="BF"/>
          <w:sz w:val="28"/>
          <w:szCs w:val="28"/>
        </w:rPr>
        <w:t>Data custodian</w:t>
      </w:r>
      <w:r>
        <w:rPr>
          <w:rFonts w:ascii="Corbel" w:hAnsi="Corbel"/>
          <w:color w:val="3E3E67" w:themeColor="accent1" w:themeShade="BF"/>
          <w:sz w:val="28"/>
          <w:szCs w:val="28"/>
        </w:rPr>
        <w:t xml:space="preserve"> – Calvary Hospital</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Chief Executive Officer</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Calvary Health Care Bruce</w:t>
      </w:r>
    </w:p>
    <w:p w:rsidR="00AB788E" w:rsidRPr="00F437B9" w:rsidRDefault="00AB788E" w:rsidP="00AB788E">
      <w:pPr>
        <w:spacing w:after="0" w:line="240" w:lineRule="auto"/>
        <w:rPr>
          <w:rFonts w:eastAsia="Calibri" w:cs="Calibri"/>
          <w:color w:val="000000"/>
          <w:sz w:val="24"/>
          <w:szCs w:val="24"/>
          <w:lang w:eastAsia="en-AU"/>
        </w:rPr>
      </w:pP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via Mick Barnes</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Performance and Reporting Manager</w:t>
      </w:r>
      <w:r w:rsidRPr="00F437B9">
        <w:rPr>
          <w:rFonts w:eastAsia="Calibri" w:cs="Calibri"/>
          <w:color w:val="000000"/>
          <w:sz w:val="24"/>
          <w:szCs w:val="24"/>
          <w:lang w:eastAsia="en-AU"/>
        </w:rPr>
        <w:br/>
        <w:t xml:space="preserve">Casemix &amp; Performance Unit </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Calvary Health Care Bruce</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 xml:space="preserve">PO Box 254 </w:t>
      </w:r>
    </w:p>
    <w:p w:rsidR="00AB788E" w:rsidRPr="00F437B9" w:rsidRDefault="00AB788E" w:rsidP="00AB788E">
      <w:pPr>
        <w:spacing w:after="0" w:line="240" w:lineRule="auto"/>
        <w:rPr>
          <w:rFonts w:eastAsia="Calibri" w:cs="Calibri"/>
          <w:color w:val="000000"/>
          <w:sz w:val="24"/>
          <w:szCs w:val="24"/>
          <w:lang w:eastAsia="en-AU"/>
        </w:rPr>
      </w:pPr>
      <w:r w:rsidRPr="00F437B9">
        <w:rPr>
          <w:rFonts w:eastAsia="Calibri" w:cs="Calibri"/>
          <w:color w:val="000000"/>
          <w:sz w:val="24"/>
          <w:szCs w:val="24"/>
          <w:lang w:eastAsia="en-AU"/>
        </w:rPr>
        <w:t>Jamison Centre ACT 2614</w:t>
      </w:r>
      <w:r w:rsidRPr="00F437B9">
        <w:rPr>
          <w:rFonts w:eastAsia="Calibri" w:cs="Calibri"/>
          <w:color w:val="000000"/>
          <w:sz w:val="24"/>
          <w:szCs w:val="24"/>
          <w:lang w:eastAsia="en-AU"/>
        </w:rPr>
        <w:br/>
      </w:r>
      <w:r w:rsidR="00A9218D" w:rsidRPr="00F437B9">
        <w:rPr>
          <w:rFonts w:eastAsia="Calibri" w:cs="Calibri"/>
          <w:bCs/>
          <w:color w:val="000000"/>
          <w:sz w:val="24"/>
          <w:szCs w:val="24"/>
          <w:lang w:eastAsia="en-AU"/>
        </w:rPr>
        <w:t>Tel</w:t>
      </w:r>
      <w:r w:rsidRPr="00F437B9">
        <w:rPr>
          <w:rFonts w:eastAsia="Calibri" w:cs="Calibri"/>
          <w:bCs/>
          <w:color w:val="000000"/>
          <w:sz w:val="24"/>
          <w:szCs w:val="24"/>
          <w:lang w:eastAsia="en-AU"/>
        </w:rPr>
        <w:t>:</w:t>
      </w:r>
      <w:r w:rsidRPr="00F437B9">
        <w:rPr>
          <w:rFonts w:eastAsia="Calibri" w:cs="Calibri"/>
          <w:b/>
          <w:bCs/>
          <w:color w:val="000000"/>
          <w:sz w:val="24"/>
          <w:szCs w:val="24"/>
          <w:lang w:eastAsia="en-AU"/>
        </w:rPr>
        <w:t xml:space="preserve"> </w:t>
      </w:r>
      <w:r w:rsidR="00A9218D" w:rsidRPr="00A9218D">
        <w:rPr>
          <w:rFonts w:eastAsia="Calibri" w:cs="Calibri"/>
          <w:color w:val="000000"/>
          <w:sz w:val="24"/>
          <w:szCs w:val="24"/>
          <w:lang w:eastAsia="en-AU"/>
        </w:rPr>
        <w:t>0</w:t>
      </w:r>
      <w:r w:rsidR="00A9218D">
        <w:rPr>
          <w:rFonts w:eastAsia="Calibri" w:cs="Calibri"/>
          <w:color w:val="000000"/>
          <w:sz w:val="24"/>
          <w:szCs w:val="24"/>
          <w:lang w:eastAsia="en-AU"/>
        </w:rPr>
        <w:t>2</w:t>
      </w:r>
      <w:r w:rsidRPr="00F437B9">
        <w:rPr>
          <w:rFonts w:eastAsia="Calibri" w:cs="Calibri"/>
          <w:color w:val="000000"/>
          <w:sz w:val="24"/>
          <w:szCs w:val="24"/>
          <w:lang w:eastAsia="en-AU"/>
        </w:rPr>
        <w:t xml:space="preserve"> 6201 6105</w:t>
      </w:r>
    </w:p>
    <w:p w:rsidR="00AB788E" w:rsidRPr="00F437B9" w:rsidRDefault="00AB788E" w:rsidP="00AB788E">
      <w:pPr>
        <w:keepNext/>
        <w:spacing w:after="0"/>
        <w:outlineLvl w:val="1"/>
        <w:rPr>
          <w:rFonts w:eastAsia="Times New Roman" w:cs="Calibri"/>
          <w:bCs/>
          <w:color w:val="000000"/>
          <w:lang w:eastAsia="en-AU"/>
        </w:rPr>
      </w:pPr>
      <w:r w:rsidRPr="00F437B9">
        <w:rPr>
          <w:rFonts w:eastAsia="Times New Roman" w:cs="Calibri"/>
          <w:bCs/>
          <w:color w:val="000000"/>
          <w:sz w:val="24"/>
          <w:szCs w:val="24"/>
          <w:lang w:eastAsia="en-AU"/>
        </w:rPr>
        <w:t xml:space="preserve">Email: </w:t>
      </w:r>
      <w:hyperlink r:id="rId14" w:history="1">
        <w:r w:rsidRPr="00F437B9">
          <w:rPr>
            <w:rFonts w:eastAsia="Times New Roman" w:cs="Calibri"/>
            <w:bCs/>
            <w:color w:val="000000"/>
            <w:sz w:val="24"/>
            <w:szCs w:val="24"/>
            <w:u w:val="single"/>
            <w:lang w:eastAsia="en-AU"/>
          </w:rPr>
          <w:t>performance@calvary-act.com.au</w:t>
        </w:r>
      </w:hyperlink>
    </w:p>
    <w:p w:rsidR="00AB788E" w:rsidRPr="002A79F8" w:rsidRDefault="00AB788E" w:rsidP="00B42EB0">
      <w:pPr>
        <w:rPr>
          <w:rFonts w:ascii="Arial" w:hAnsi="Arial" w:cs="Arial"/>
          <w:sz w:val="20"/>
          <w:szCs w:val="20"/>
        </w:rPr>
        <w:sectPr w:rsidR="00AB788E" w:rsidRPr="002A79F8" w:rsidSect="00B42EB0">
          <w:footerReference w:type="default" r:id="rId15"/>
          <w:pgSz w:w="11906" w:h="16838" w:code="9"/>
          <w:pgMar w:top="1440" w:right="1440" w:bottom="1440" w:left="1440" w:header="709" w:footer="709" w:gutter="0"/>
          <w:cols w:space="708"/>
          <w:docGrid w:linePitch="360"/>
        </w:sectPr>
      </w:pPr>
    </w:p>
    <w:p w:rsidR="00F00049" w:rsidRPr="000044DE" w:rsidRDefault="00F00049" w:rsidP="00F00049">
      <w:pPr>
        <w:pStyle w:val="Heading2"/>
        <w:rPr>
          <w:rFonts w:ascii="Corbel" w:hAnsi="Corbel"/>
          <w:color w:val="3E3E67" w:themeColor="accent1" w:themeShade="BF"/>
          <w:sz w:val="32"/>
          <w:szCs w:val="32"/>
        </w:rPr>
      </w:pPr>
      <w:r w:rsidRPr="000044DE">
        <w:rPr>
          <w:rFonts w:ascii="Corbel" w:hAnsi="Corbel"/>
          <w:color w:val="3E3E67" w:themeColor="accent1" w:themeShade="BF"/>
          <w:sz w:val="32"/>
          <w:szCs w:val="32"/>
        </w:rPr>
        <w:lastRenderedPageBreak/>
        <w:t>V</w:t>
      </w:r>
      <w:r w:rsidR="00C06E0C" w:rsidRPr="000044DE">
        <w:rPr>
          <w:rFonts w:ascii="Corbel" w:hAnsi="Corbel"/>
          <w:color w:val="3E3E67" w:themeColor="accent1" w:themeShade="BF"/>
          <w:sz w:val="32"/>
          <w:szCs w:val="32"/>
        </w:rPr>
        <w:t>ariable 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015C82" w:rsidTr="000044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CC3E07" w:rsidRPr="00015C82" w:rsidRDefault="00CC3E07">
            <w:pPr>
              <w:rPr>
                <w:rFonts w:cs="Arial"/>
              </w:rPr>
            </w:pPr>
            <w:bookmarkStart w:id="1" w:name="_Hlk274311485"/>
            <w:r w:rsidRPr="00015C82">
              <w:rPr>
                <w:rFonts w:cs="Arial"/>
              </w:rPr>
              <w:t>Variable</w:t>
            </w:r>
          </w:p>
        </w:tc>
        <w:tc>
          <w:tcPr>
            <w:tcW w:w="5954" w:type="dxa"/>
            <w:shd w:val="clear" w:color="auto" w:fill="3E3E67" w:themeFill="accent1" w:themeFillShade="BF"/>
          </w:tcPr>
          <w:p w:rsidR="00CC3E07" w:rsidRPr="00015C82" w:rsidRDefault="00CC3E07">
            <w:pPr>
              <w:cnfStyle w:val="100000000000" w:firstRow="1" w:lastRow="0" w:firstColumn="0" w:lastColumn="0" w:oddVBand="0" w:evenVBand="0" w:oddHBand="0" w:evenHBand="0" w:firstRowFirstColumn="0" w:firstRowLastColumn="0" w:lastRowFirstColumn="0" w:lastRowLastColumn="0"/>
              <w:rPr>
                <w:rFonts w:cs="Arial"/>
              </w:rPr>
            </w:pPr>
            <w:r w:rsidRPr="00015C82">
              <w:rPr>
                <w:rFonts w:cs="Arial"/>
              </w:rPr>
              <w:t>Description/Notes</w:t>
            </w:r>
          </w:p>
        </w:tc>
        <w:tc>
          <w:tcPr>
            <w:tcW w:w="5386" w:type="dxa"/>
            <w:shd w:val="clear" w:color="auto" w:fill="3E3E67" w:themeFill="accent1" w:themeFillShade="BF"/>
          </w:tcPr>
          <w:p w:rsidR="00CC3E07" w:rsidRPr="00015C82" w:rsidRDefault="00CC3E07" w:rsidP="00FB25CF">
            <w:pPr>
              <w:cnfStyle w:val="100000000000" w:firstRow="1" w:lastRow="0" w:firstColumn="0" w:lastColumn="0" w:oddVBand="0" w:evenVBand="0" w:oddHBand="0" w:evenHBand="0" w:firstRowFirstColumn="0" w:firstRowLastColumn="0" w:lastRowFirstColumn="0" w:lastRowLastColumn="0"/>
              <w:rPr>
                <w:rFonts w:cs="Arial"/>
              </w:rPr>
            </w:pPr>
            <w:r w:rsidRPr="00015C82">
              <w:rPr>
                <w:rFonts w:cs="Arial"/>
              </w:rPr>
              <w:t>Codes</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rsidP="00F26D02">
            <w:pPr>
              <w:rPr>
                <w:rFonts w:cs="Arial"/>
                <w:color w:val="000000" w:themeColor="text1"/>
              </w:rPr>
            </w:pPr>
            <w:r w:rsidRPr="00015C82">
              <w:rPr>
                <w:rFonts w:cs="Arial"/>
                <w:color w:val="000000" w:themeColor="text1"/>
              </w:rPr>
              <w:t xml:space="preserve">Date of birth </w:t>
            </w:r>
          </w:p>
        </w:tc>
        <w:tc>
          <w:tcPr>
            <w:tcW w:w="5954" w:type="dxa"/>
            <w:tcBorders>
              <w:top w:val="none" w:sz="0" w:space="0" w:color="auto"/>
              <w:bottom w:val="none" w:sz="0" w:space="0" w:color="auto"/>
            </w:tcBorders>
          </w:tcPr>
          <w:p w:rsidR="00CC3E07" w:rsidRPr="00015C82" w:rsidRDefault="00C41186" w:rsidP="002919A8">
            <w:pPr>
              <w:cnfStyle w:val="000000100000" w:firstRow="0" w:lastRow="0" w:firstColumn="0" w:lastColumn="0" w:oddVBand="0" w:evenVBand="0" w:oddHBand="1" w:evenHBand="0" w:firstRowFirstColumn="0" w:firstRowLastColumn="0" w:lastRowFirstColumn="0" w:lastRowLastColumn="0"/>
              <w:rPr>
                <w:rFonts w:cs="Arial"/>
              </w:rPr>
            </w:pPr>
            <w:r>
              <w:rPr>
                <w:rFonts w:cs="Arial"/>
              </w:rPr>
              <w:t>Full date of birth will only be supplied if sufficient justification is supplied that age is insufficient. Date of birth may otherwise be supplied as MMYYYY.</w:t>
            </w:r>
          </w:p>
        </w:tc>
        <w:tc>
          <w:tcPr>
            <w:tcW w:w="5386" w:type="dxa"/>
            <w:tcBorders>
              <w:top w:val="none" w:sz="0" w:space="0" w:color="auto"/>
              <w:bottom w:val="none" w:sz="0" w:space="0" w:color="auto"/>
              <w:right w:val="none" w:sz="0" w:space="0" w:color="auto"/>
            </w:tcBorders>
          </w:tcPr>
          <w:p w:rsidR="00CC3E07" w:rsidRPr="00015C82" w:rsidRDefault="00CC3E07" w:rsidP="00FB25CF">
            <w:pPr>
              <w:cnfStyle w:val="000000100000" w:firstRow="0" w:lastRow="0" w:firstColumn="0" w:lastColumn="0" w:oddVBand="0" w:evenVBand="0" w:oddHBand="1" w:evenHBand="0" w:firstRowFirstColumn="0" w:firstRowLastColumn="0" w:lastRowFirstColumn="0" w:lastRowLastColumn="0"/>
              <w:rPr>
                <w:rFonts w:cs="Arial"/>
              </w:rPr>
            </w:pP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 xml:space="preserve">Age </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The age of the patient  in years</w:t>
            </w:r>
          </w:p>
        </w:tc>
        <w:tc>
          <w:tcPr>
            <w:tcW w:w="5386" w:type="dxa"/>
          </w:tcPr>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pPr>
              <w:rPr>
                <w:rFonts w:cs="Arial"/>
                <w:color w:val="000000"/>
              </w:rPr>
            </w:pPr>
            <w:r w:rsidRPr="00015C82">
              <w:rPr>
                <w:rFonts w:cs="Arial"/>
                <w:color w:val="000000"/>
              </w:rPr>
              <w:t>Sex</w:t>
            </w:r>
          </w:p>
        </w:tc>
        <w:tc>
          <w:tcPr>
            <w:tcW w:w="5954" w:type="dxa"/>
            <w:tcBorders>
              <w:top w:val="none" w:sz="0" w:space="0" w:color="auto"/>
              <w:bottom w:val="none" w:sz="0" w:space="0" w:color="auto"/>
            </w:tcBorders>
          </w:tcPr>
          <w:p w:rsidR="00CC3E07" w:rsidRPr="00015C82" w:rsidRDefault="00F26D0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G</w:t>
            </w:r>
            <w:r w:rsidR="00CC3E07" w:rsidRPr="00015C82">
              <w:rPr>
                <w:rFonts w:cs="Arial"/>
              </w:rPr>
              <w:t>ender of the patient</w:t>
            </w:r>
          </w:p>
        </w:tc>
        <w:tc>
          <w:tcPr>
            <w:tcW w:w="5386" w:type="dxa"/>
            <w:tcBorders>
              <w:top w:val="none" w:sz="0" w:space="0" w:color="auto"/>
              <w:bottom w:val="none" w:sz="0" w:space="0" w:color="auto"/>
              <w:right w:val="none" w:sz="0" w:space="0" w:color="auto"/>
            </w:tcBorders>
          </w:tcPr>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1 =</w:t>
            </w:r>
            <w:r>
              <w:rPr>
                <w:rFonts w:cs="Arial"/>
              </w:rPr>
              <w:t xml:space="preserve"> </w:t>
            </w:r>
            <w:r w:rsidRPr="004705CB">
              <w:rPr>
                <w:rFonts w:cs="Arial"/>
              </w:rPr>
              <w:t>Male</w:t>
            </w:r>
          </w:p>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2 = Female</w:t>
            </w:r>
          </w:p>
          <w:p w:rsidR="00164EE2" w:rsidRPr="004705CB"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3 = Indeterminate</w:t>
            </w:r>
          </w:p>
          <w:p w:rsidR="00CC3E07" w:rsidRPr="00015C82" w:rsidRDefault="00164EE2" w:rsidP="00164EE2">
            <w:pPr>
              <w:ind w:left="426" w:hanging="426"/>
              <w:cnfStyle w:val="000000100000" w:firstRow="0" w:lastRow="0" w:firstColumn="0" w:lastColumn="0" w:oddVBand="0" w:evenVBand="0" w:oddHBand="1" w:evenHBand="0" w:firstRowFirstColumn="0" w:firstRowLastColumn="0" w:lastRowFirstColumn="0" w:lastRowLastColumn="0"/>
              <w:rPr>
                <w:rFonts w:cs="Arial"/>
              </w:rPr>
            </w:pPr>
            <w:r w:rsidRPr="004705CB">
              <w:rPr>
                <w:rFonts w:cs="Arial"/>
              </w:rPr>
              <w:t>9 = Not stated/inadequately described</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Indigenous status</w:t>
            </w:r>
          </w:p>
        </w:tc>
        <w:tc>
          <w:tcPr>
            <w:tcW w:w="5954" w:type="dxa"/>
          </w:tcPr>
          <w:p w:rsidR="00CC3E07" w:rsidRPr="00015C82" w:rsidRDefault="00A3654A">
            <w:pPr>
              <w:cnfStyle w:val="000000000000" w:firstRow="0" w:lastRow="0" w:firstColumn="0" w:lastColumn="0" w:oddVBand="0" w:evenVBand="0" w:oddHBand="0" w:evenHBand="0" w:firstRowFirstColumn="0" w:firstRowLastColumn="0" w:lastRowFirstColumn="0" w:lastRowLastColumn="0"/>
              <w:rPr>
                <w:rFonts w:cs="Arial"/>
              </w:rPr>
            </w:pPr>
            <w:r>
              <w:rPr>
                <w:rFonts w:eastAsia="Calibri" w:cs="Times New Roman"/>
                <w:bCs/>
                <w:noProof/>
                <w:color w:val="000000"/>
              </w:rPr>
              <w:t>W</w:t>
            </w:r>
            <w:r w:rsidRPr="004705CB">
              <w:rPr>
                <w:rFonts w:eastAsia="Calibri" w:cs="Times New Roman"/>
                <w:bCs/>
                <w:noProof/>
                <w:color w:val="000000"/>
              </w:rPr>
              <w:t>hether the person is Aboriginal or Torres Strait Islander, based on the person’s own self-</w:t>
            </w:r>
            <w:r>
              <w:rPr>
                <w:rFonts w:eastAsia="Calibri" w:cs="Times New Roman"/>
                <w:bCs/>
                <w:noProof/>
                <w:color w:val="000000"/>
              </w:rPr>
              <w:t>report</w:t>
            </w:r>
          </w:p>
        </w:tc>
        <w:tc>
          <w:tcPr>
            <w:tcW w:w="5386" w:type="dxa"/>
          </w:tcPr>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1 = Aboriginal</w:t>
            </w:r>
            <w:r>
              <w:rPr>
                <w:rFonts w:cs="Arial"/>
              </w:rPr>
              <w:t xml:space="preserve"> but not Torres Strait Islander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2 = Torres Strait Islander </w:t>
            </w:r>
            <w:r>
              <w:rPr>
                <w:rFonts w:cs="Arial"/>
              </w:rPr>
              <w:t>but not Aboriginal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3 = </w:t>
            </w:r>
            <w:r>
              <w:rPr>
                <w:rFonts w:cs="Arial"/>
              </w:rPr>
              <w:t xml:space="preserve">Both </w:t>
            </w:r>
            <w:r w:rsidRPr="004705CB">
              <w:rPr>
                <w:rFonts w:cs="Arial"/>
              </w:rPr>
              <w:t>Aboriginal and Torres Strait Islander origin</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4 = Neither Aboriginal nor Torres Strait Islander</w:t>
            </w:r>
            <w:r>
              <w:rPr>
                <w:rFonts w:cs="Arial"/>
              </w:rPr>
              <w:t xml:space="preserve"> origin</w:t>
            </w:r>
          </w:p>
          <w:p w:rsidR="00CC3E07" w:rsidRPr="00015C82"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9 = Unknown</w:t>
            </w:r>
            <w:r>
              <w:rPr>
                <w:rFonts w:cs="Arial"/>
              </w:rPr>
              <w:t xml:space="preserve"> or not stated</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rsidR="00CC3E07" w:rsidRPr="00015C82" w:rsidRDefault="00CC3E07">
            <w:pPr>
              <w:rPr>
                <w:rFonts w:cs="Arial"/>
                <w:color w:val="000000"/>
              </w:rPr>
            </w:pPr>
            <w:r w:rsidRPr="00015C82">
              <w:rPr>
                <w:rFonts w:cs="Arial"/>
                <w:color w:val="000000"/>
              </w:rPr>
              <w:t>Country of birth</w:t>
            </w:r>
          </w:p>
        </w:tc>
        <w:tc>
          <w:tcPr>
            <w:tcW w:w="5954" w:type="dxa"/>
            <w:tcBorders>
              <w:top w:val="none" w:sz="0" w:space="0" w:color="auto"/>
              <w:bottom w:val="none" w:sz="0" w:space="0" w:color="auto"/>
            </w:tcBorders>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country in which the patient was born</w:t>
            </w:r>
          </w:p>
        </w:tc>
        <w:tc>
          <w:tcPr>
            <w:tcW w:w="5386" w:type="dxa"/>
            <w:tcBorders>
              <w:top w:val="none" w:sz="0" w:space="0" w:color="auto"/>
              <w:bottom w:val="none" w:sz="0" w:space="0" w:color="auto"/>
              <w:right w:val="none" w:sz="0" w:space="0" w:color="auto"/>
            </w:tcBorders>
          </w:tcPr>
          <w:p w:rsidR="00735AC3" w:rsidRPr="00015C82" w:rsidRDefault="00CC3E07" w:rsidP="00735AC3">
            <w:pPr>
              <w:cnfStyle w:val="000000100000" w:firstRow="0" w:lastRow="0" w:firstColumn="0" w:lastColumn="0" w:oddVBand="0" w:evenVBand="0" w:oddHBand="1" w:evenHBand="0" w:firstRowFirstColumn="0" w:firstRowLastColumn="0" w:lastRowFirstColumn="0" w:lastRowLastColumn="0"/>
              <w:rPr>
                <w:color w:val="008800"/>
              </w:rPr>
            </w:pPr>
            <w:r w:rsidRPr="00015C82">
              <w:rPr>
                <w:rFonts w:cs="Arial"/>
              </w:rPr>
              <w:t xml:space="preserve">Codes are according to the Standard Australian Classification of Countries (SACC) issued by the Australian Bureau of Statistics </w:t>
            </w:r>
            <w:hyperlink r:id="rId16" w:history="1">
              <w:r w:rsidR="00735AC3" w:rsidRPr="00015C82">
                <w:rPr>
                  <w:rStyle w:val="Hyperlink"/>
                </w:rPr>
                <w:t>http://www.abs.gov.au/ausstats/abs@.nsf/mf/1269.0</w:t>
              </w:r>
            </w:hyperlink>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Marital status</w:t>
            </w:r>
          </w:p>
        </w:tc>
        <w:tc>
          <w:tcPr>
            <w:tcW w:w="5954" w:type="dxa"/>
          </w:tcPr>
          <w:p w:rsidR="00CC3E07" w:rsidRPr="00015C82" w:rsidRDefault="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Current</w:t>
            </w:r>
            <w:r w:rsidR="00CC3E07" w:rsidRPr="00015C82">
              <w:rPr>
                <w:rFonts w:cs="Arial"/>
              </w:rPr>
              <w:t xml:space="preserve"> marital status of the patient</w:t>
            </w:r>
          </w:p>
        </w:tc>
        <w:tc>
          <w:tcPr>
            <w:tcW w:w="5386" w:type="dxa"/>
          </w:tcPr>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4705CB">
              <w:rPr>
                <w:rFonts w:cs="Arial"/>
              </w:rPr>
              <w:t xml:space="preserve"> = Never married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Pr="004705CB">
              <w:rPr>
                <w:rFonts w:cs="Arial"/>
              </w:rPr>
              <w:t xml:space="preserve"> = Widowed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Pr="004705CB">
              <w:rPr>
                <w:rFonts w:cs="Arial"/>
              </w:rPr>
              <w:t xml:space="preserve"> = Divorced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Pr="004705CB">
              <w:rPr>
                <w:rFonts w:cs="Arial"/>
              </w:rPr>
              <w:t xml:space="preserve"> = Separated</w:t>
            </w:r>
          </w:p>
          <w:p w:rsidR="00164EE2" w:rsidRPr="004705CB"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5</w:t>
            </w:r>
            <w:r w:rsidRPr="004705CB">
              <w:rPr>
                <w:rFonts w:cs="Arial"/>
              </w:rPr>
              <w:t xml:space="preserve"> = Married (including de facto)</w:t>
            </w:r>
          </w:p>
          <w:p w:rsidR="00CC3E07" w:rsidRPr="00015C82" w:rsidRDefault="00164EE2" w:rsidP="00164EE2">
            <w:pPr>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Pr="004705CB">
              <w:rPr>
                <w:rFonts w:cs="Arial"/>
              </w:rPr>
              <w:t xml:space="preserve"> = </w:t>
            </w:r>
            <w:r w:rsidR="00EB245C">
              <w:rPr>
                <w:rFonts w:ascii="Arial" w:hAnsi="Arial" w:cs="Arial"/>
                <w:sz w:val="20"/>
                <w:szCs w:val="20"/>
              </w:rPr>
              <w:t>Not stated/inadequately described</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lastRenderedPageBreak/>
              <w:t>State of residence</w:t>
            </w:r>
          </w:p>
        </w:tc>
        <w:tc>
          <w:tcPr>
            <w:tcW w:w="5954" w:type="dxa"/>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The </w:t>
            </w:r>
            <w:r w:rsidR="000A055E" w:rsidRPr="00015C82">
              <w:rPr>
                <w:rFonts w:cs="Arial"/>
              </w:rPr>
              <w:t xml:space="preserve">Australian </w:t>
            </w:r>
            <w:r w:rsidRPr="00015C82">
              <w:rPr>
                <w:rFonts w:cs="Arial"/>
              </w:rPr>
              <w:t>state in which the patient usually resides</w:t>
            </w:r>
          </w:p>
        </w:tc>
        <w:tc>
          <w:tcPr>
            <w:tcW w:w="5386" w:type="dxa"/>
          </w:tcPr>
          <w:p w:rsidR="00164EE2" w:rsidRPr="00390EF9" w:rsidRDefault="00164EE2" w:rsidP="00D306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D1466">
              <w:rPr>
                <w:rFonts w:cs="Arial"/>
              </w:rPr>
              <w:t xml:space="preserve">0 = </w:t>
            </w:r>
            <w:r w:rsidR="006222AD">
              <w:rPr>
                <w:rFonts w:ascii="Arial" w:hAnsi="Arial" w:cs="Arial"/>
                <w:sz w:val="20"/>
                <w:szCs w:val="20"/>
              </w:rPr>
              <w:t>not applic</w:t>
            </w:r>
            <w:r w:rsidR="00D306FA">
              <w:rPr>
                <w:rFonts w:ascii="Arial" w:hAnsi="Arial" w:cs="Arial"/>
                <w:sz w:val="20"/>
                <w:szCs w:val="20"/>
              </w:rPr>
              <w:t>able</w:t>
            </w:r>
            <w:r w:rsidR="006222AD">
              <w:rPr>
                <w:rFonts w:ascii="Arial" w:hAnsi="Arial" w:cs="Arial"/>
                <w:sz w:val="20"/>
                <w:szCs w:val="20"/>
              </w:rPr>
              <w:t>, o/s, at sea. no fixed address</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1 = NSW</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2 = Vic</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3 = Qld</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4 = SA</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5 = WA</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6 = Tas</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7 = NT</w:t>
            </w:r>
          </w:p>
          <w:p w:rsidR="00164EE2" w:rsidRPr="005D1466"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8 = ACT</w:t>
            </w:r>
          </w:p>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5D1466">
              <w:rPr>
                <w:rFonts w:cs="Arial"/>
              </w:rPr>
              <w:t>9 = Other/Territories</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D107BE">
            <w:pPr>
              <w:rPr>
                <w:rFonts w:cs="Arial"/>
                <w:color w:val="000000"/>
              </w:rPr>
            </w:pPr>
            <w:r w:rsidRPr="00015C82">
              <w:rPr>
                <w:rFonts w:cs="Arial"/>
                <w:color w:val="000000"/>
              </w:rPr>
              <w:t>Postcode of residence</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The postcode of the patient’s usual </w:t>
            </w:r>
            <w:r w:rsidR="00802133" w:rsidRPr="00015C82">
              <w:rPr>
                <w:rFonts w:cs="Arial"/>
              </w:rPr>
              <w:t xml:space="preserve">place of </w:t>
            </w:r>
            <w:r w:rsidRPr="00015C82">
              <w:rPr>
                <w:rFonts w:cs="Arial"/>
              </w:rPr>
              <w:t>residence</w:t>
            </w:r>
          </w:p>
        </w:tc>
        <w:tc>
          <w:tcPr>
            <w:tcW w:w="5386" w:type="dxa"/>
          </w:tcPr>
          <w:p w:rsidR="00CC3E07" w:rsidRPr="00015C82" w:rsidRDefault="00CC3E07" w:rsidP="0091720D">
            <w:pPr>
              <w:cnfStyle w:val="000000000000" w:firstRow="0" w:lastRow="0" w:firstColumn="0" w:lastColumn="0" w:oddVBand="0" w:evenVBand="0" w:oddHBand="0" w:evenHBand="0" w:firstRowFirstColumn="0" w:firstRowLastColumn="0" w:lastRowFirstColumn="0" w:lastRowLastColumn="0"/>
            </w:pPr>
            <w:r w:rsidRPr="00015C82">
              <w:t>The following codes are also valid:</w:t>
            </w:r>
          </w:p>
          <w:p w:rsidR="00CC3E07" w:rsidRDefault="00CC3E07" w:rsidP="0091720D">
            <w:pPr>
              <w:cnfStyle w:val="000000000000" w:firstRow="0" w:lastRow="0" w:firstColumn="0" w:lastColumn="0" w:oddVBand="0" w:evenVBand="0" w:oddHBand="0" w:evenHBand="0" w:firstRowFirstColumn="0" w:firstRowLastColumn="0" w:lastRowFirstColumn="0" w:lastRowLastColumn="0"/>
            </w:pPr>
            <w:r w:rsidRPr="00015C82">
              <w:t>9999 = No Further Information Available (NFIA)</w:t>
            </w:r>
            <w:r w:rsidR="006222AD">
              <w:t xml:space="preserve"> </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ACT - 2600-2620; 2900-2915</w:t>
            </w:r>
            <w:r w:rsidR="0091720D">
              <w:rPr>
                <w:rFonts w:cs="Calibri"/>
              </w:rPr>
              <w:t>.</w:t>
            </w:r>
            <w:r w:rsidRPr="00B40D8A">
              <w:rPr>
                <w:rFonts w:cs="Calibri"/>
              </w:rPr>
              <w:t xml:space="preserve"> Postcodes 2600, 2611, 2618, 2619, 2620 are shared with NSW</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NSW - 2000 - 2599; 2618 – 2899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VIC - 3000 - 3999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QLD – 4000-4999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SA – 5000-5999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WA – 6000-6999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TAS – 7000-7999</w:t>
            </w:r>
          </w:p>
          <w:p w:rsidR="00B42A1B" w:rsidRPr="0032389F" w:rsidRDefault="00B42A1B" w:rsidP="0091720D">
            <w:pPr>
              <w:cnfStyle w:val="000000000000" w:firstRow="0" w:lastRow="0" w:firstColumn="0" w:lastColumn="0" w:oddVBand="0" w:evenVBand="0" w:oddHBand="0" w:evenHBand="0" w:firstRowFirstColumn="0" w:firstRowLastColumn="0" w:lastRowFirstColumn="0" w:lastRowLastColumn="0"/>
              <w:rPr>
                <w:rFonts w:cs="Calibri"/>
              </w:rPr>
            </w:pPr>
            <w:r w:rsidRPr="00B40D8A">
              <w:rPr>
                <w:rFonts w:cs="Calibri"/>
              </w:rPr>
              <w:t>NT – 0800-0899</w:t>
            </w:r>
          </w:p>
          <w:p w:rsidR="00B42A1B" w:rsidRPr="00015C82" w:rsidRDefault="00B42A1B" w:rsidP="0091720D">
            <w:pPr>
              <w:cnfStyle w:val="000000000000" w:firstRow="0" w:lastRow="0" w:firstColumn="0" w:lastColumn="0" w:oddVBand="0" w:evenVBand="0" w:oddHBand="0" w:evenHBand="0" w:firstRowFirstColumn="0" w:firstRowLastColumn="0" w:lastRowFirstColumn="0" w:lastRowLastColumn="0"/>
            </w:pPr>
            <w:r w:rsidRPr="00B40D8A">
              <w:rPr>
                <w:rFonts w:cs="Calibri"/>
              </w:rPr>
              <w:t>O/S – null or 9999</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F237E6">
            <w:pPr>
              <w:rPr>
                <w:rFonts w:cs="Arial"/>
                <w:color w:val="000000"/>
              </w:rPr>
            </w:pPr>
            <w:r w:rsidRPr="00015C82">
              <w:rPr>
                <w:rFonts w:cs="Arial"/>
                <w:color w:val="000000"/>
              </w:rPr>
              <w:t>Statistical Local Area of residence</w:t>
            </w:r>
            <w:r w:rsidR="00911DBC">
              <w:rPr>
                <w:rFonts w:cs="Arial"/>
                <w:color w:val="000000"/>
              </w:rPr>
              <w:t xml:space="preserve"> </w:t>
            </w:r>
          </w:p>
        </w:tc>
        <w:tc>
          <w:tcPr>
            <w:tcW w:w="5954" w:type="dxa"/>
          </w:tcPr>
          <w:p w:rsidR="00CC3E07" w:rsidRPr="00015C82" w:rsidRDefault="00B918DB" w:rsidP="00B918DB">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geographical boundary assigned to the patient’s area of residence</w:t>
            </w:r>
          </w:p>
        </w:tc>
        <w:tc>
          <w:tcPr>
            <w:tcW w:w="5386" w:type="dxa"/>
          </w:tcPr>
          <w:p w:rsidR="00802133" w:rsidRPr="00015C82" w:rsidRDefault="00B918DB" w:rsidP="00FB25CF">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Codes are according to the Australian Standard Geographical Classification (ASGC) issued by the Australian Bureau of Statistics </w:t>
            </w:r>
            <w:hyperlink r:id="rId17" w:history="1">
              <w:r w:rsidR="00802133" w:rsidRPr="00015C82">
                <w:rPr>
                  <w:rStyle w:val="Hyperlink"/>
                  <w:rFonts w:cs="Arial"/>
                </w:rPr>
                <w:t>http://www.abs.gov.au/ausstats/abs@.nsf/mf/1216.0</w:t>
              </w:r>
            </w:hyperlink>
          </w:p>
        </w:tc>
      </w:tr>
      <w:tr w:rsidR="00641933" w:rsidRPr="004705CB" w:rsidTr="00A3654A">
        <w:tblPrEx>
          <w:shd w:val="clear" w:color="auto" w:fill="DADAE9" w:themeFill="accent1" w:themeFillTint="33"/>
        </w:tblPrEx>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41933" w:rsidRPr="004705CB" w:rsidRDefault="00911DBC" w:rsidP="00A3654A">
            <w:pPr>
              <w:rPr>
                <w:rFonts w:cs="Arial"/>
                <w:color w:val="000000"/>
              </w:rPr>
            </w:pPr>
            <w:r>
              <w:rPr>
                <w:rFonts w:cs="Arial"/>
                <w:color w:val="000000"/>
              </w:rPr>
              <w:t>Hospital I</w:t>
            </w:r>
            <w:r w:rsidR="00EB245C">
              <w:rPr>
                <w:rFonts w:cs="Arial"/>
                <w:color w:val="000000"/>
              </w:rPr>
              <w:t>dentifier</w:t>
            </w:r>
          </w:p>
        </w:tc>
        <w:tc>
          <w:tcPr>
            <w:tcW w:w="5954" w:type="dxa"/>
            <w:shd w:val="clear" w:color="auto" w:fill="auto"/>
          </w:tcPr>
          <w:p w:rsidR="00641933" w:rsidRPr="004705CB" w:rsidRDefault="00641933" w:rsidP="00641933">
            <w:pPr>
              <w:cnfStyle w:val="000000000000" w:firstRow="0" w:lastRow="0" w:firstColumn="0" w:lastColumn="0" w:oddVBand="0" w:evenVBand="0" w:oddHBand="0" w:evenHBand="0" w:firstRowFirstColumn="0" w:firstRowLastColumn="0" w:lastRowFirstColumn="0" w:lastRowLastColumn="0"/>
              <w:rPr>
                <w:rFonts w:cs="Arial"/>
              </w:rPr>
            </w:pPr>
            <w:r w:rsidRPr="004705CB">
              <w:rPr>
                <w:rFonts w:cs="Arial"/>
              </w:rPr>
              <w:t xml:space="preserve">The specific hospital reporting the </w:t>
            </w:r>
            <w:r>
              <w:rPr>
                <w:rFonts w:cs="Arial"/>
              </w:rPr>
              <w:t>ED</w:t>
            </w:r>
            <w:r w:rsidRPr="004705CB">
              <w:rPr>
                <w:rFonts w:cs="Arial"/>
              </w:rPr>
              <w:t xml:space="preserve"> episode of care.</w:t>
            </w:r>
          </w:p>
        </w:tc>
        <w:tc>
          <w:tcPr>
            <w:tcW w:w="5386" w:type="dxa"/>
            <w:shd w:val="clear" w:color="auto" w:fill="auto"/>
          </w:tcPr>
          <w:p w:rsidR="00B81941" w:rsidRPr="0091720D" w:rsidRDefault="00B81941" w:rsidP="00B81941">
            <w:pPr>
              <w:cnfStyle w:val="000000000000" w:firstRow="0" w:lastRow="0" w:firstColumn="0" w:lastColumn="0" w:oddVBand="0" w:evenVBand="0" w:oddHBand="0" w:evenHBand="0" w:firstRowFirstColumn="0" w:firstRowLastColumn="0" w:lastRowFirstColumn="0" w:lastRowLastColumn="0"/>
              <w:rPr>
                <w:rFonts w:cs="Arial"/>
              </w:rPr>
            </w:pPr>
            <w:r w:rsidRPr="0091720D">
              <w:rPr>
                <w:rFonts w:cs="Arial"/>
              </w:rPr>
              <w:t xml:space="preserve">82 = </w:t>
            </w:r>
            <w:r w:rsidRPr="0091720D">
              <w:rPr>
                <w:rFonts w:cs="Calibri"/>
              </w:rPr>
              <w:t>Canberra Hospital</w:t>
            </w:r>
          </w:p>
          <w:p w:rsidR="00641933" w:rsidRPr="0091720D" w:rsidRDefault="00B81941" w:rsidP="00A3654A">
            <w:pPr>
              <w:cnfStyle w:val="000000000000" w:firstRow="0" w:lastRow="0" w:firstColumn="0" w:lastColumn="0" w:oddVBand="0" w:evenVBand="0" w:oddHBand="0" w:evenHBand="0" w:firstRowFirstColumn="0" w:firstRowLastColumn="0" w:lastRowFirstColumn="0" w:lastRowLastColumn="0"/>
              <w:rPr>
                <w:rFonts w:cs="Arial"/>
              </w:rPr>
            </w:pPr>
            <w:r w:rsidRPr="0091720D">
              <w:rPr>
                <w:rFonts w:cs="Arial"/>
              </w:rPr>
              <w:t>83 = Calvary Public Hospital -Bruce</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pPr>
              <w:rPr>
                <w:rFonts w:cs="Arial"/>
                <w:color w:val="000000"/>
              </w:rPr>
            </w:pPr>
            <w:r w:rsidRPr="00015C82">
              <w:rPr>
                <w:rFonts w:cs="Arial"/>
                <w:color w:val="000000"/>
              </w:rPr>
              <w:t>Insurance status</w:t>
            </w:r>
          </w:p>
        </w:tc>
        <w:tc>
          <w:tcPr>
            <w:tcW w:w="5954" w:type="dxa"/>
          </w:tcPr>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164EE2">
              <w:rPr>
                <w:rFonts w:cs="Arial"/>
                <w:lang w:bidi="en-US"/>
              </w:rPr>
              <w:t>Indicates whether the person receiving the service is insur</w:t>
            </w:r>
            <w:r>
              <w:rPr>
                <w:rFonts w:cs="Arial"/>
                <w:lang w:bidi="en-US"/>
              </w:rPr>
              <w:t>ed or not insured at the time</w:t>
            </w:r>
            <w:r w:rsidRPr="00164EE2">
              <w:rPr>
                <w:rFonts w:cs="Arial"/>
                <w:lang w:bidi="en-US"/>
              </w:rPr>
              <w:t>. This variable is not intended to indicate whether or not the person utilises hospital benefit entitlements.</w:t>
            </w:r>
          </w:p>
        </w:tc>
        <w:tc>
          <w:tcPr>
            <w:tcW w:w="5386" w:type="dxa"/>
          </w:tcPr>
          <w:p w:rsidR="00164EE2" w:rsidRPr="00E021A4"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1 </w:t>
            </w:r>
            <w:r>
              <w:rPr>
                <w:rFonts w:cs="Arial"/>
              </w:rPr>
              <w:t xml:space="preserve">= </w:t>
            </w:r>
            <w:r w:rsidRPr="00E021A4">
              <w:rPr>
                <w:rFonts w:cs="Arial"/>
              </w:rPr>
              <w:t xml:space="preserve">Hospital insurance  </w:t>
            </w:r>
          </w:p>
          <w:p w:rsidR="00164EE2" w:rsidRPr="00E021A4"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2 </w:t>
            </w:r>
            <w:r>
              <w:rPr>
                <w:rFonts w:cs="Arial"/>
              </w:rPr>
              <w:t xml:space="preserve">= </w:t>
            </w:r>
            <w:r w:rsidRPr="00E021A4">
              <w:rPr>
                <w:rFonts w:cs="Arial"/>
              </w:rPr>
              <w:t xml:space="preserve">No hospital insurance  </w:t>
            </w:r>
          </w:p>
          <w:p w:rsidR="00CC3E07" w:rsidRPr="00015C82" w:rsidRDefault="00164EE2" w:rsidP="00164EE2">
            <w:pPr>
              <w:cnfStyle w:val="000000100000" w:firstRow="0" w:lastRow="0" w:firstColumn="0" w:lastColumn="0" w:oddVBand="0" w:evenVBand="0" w:oddHBand="1" w:evenHBand="0" w:firstRowFirstColumn="0" w:firstRowLastColumn="0" w:lastRowFirstColumn="0" w:lastRowLastColumn="0"/>
              <w:rPr>
                <w:rFonts w:cs="Arial"/>
              </w:rPr>
            </w:pPr>
            <w:r w:rsidRPr="00E021A4">
              <w:rPr>
                <w:rFonts w:cs="Arial"/>
              </w:rPr>
              <w:t xml:space="preserve">9 </w:t>
            </w:r>
            <w:r>
              <w:rPr>
                <w:rFonts w:cs="Arial"/>
              </w:rPr>
              <w:t xml:space="preserve">= </w:t>
            </w:r>
            <w:r w:rsidRPr="00E021A4">
              <w:rPr>
                <w:rFonts w:cs="Arial"/>
              </w:rPr>
              <w:t>Unknown</w:t>
            </w:r>
          </w:p>
        </w:tc>
      </w:tr>
      <w:tr w:rsidR="00CC3E07" w:rsidRPr="00015C82"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F237E6">
            <w:pPr>
              <w:rPr>
                <w:rFonts w:cs="Arial"/>
                <w:color w:val="000000"/>
              </w:rPr>
            </w:pPr>
            <w:r w:rsidRPr="00015C82">
              <w:rPr>
                <w:rFonts w:cs="Arial"/>
                <w:color w:val="000000"/>
              </w:rPr>
              <w:lastRenderedPageBreak/>
              <w:t>Arrival date and time</w:t>
            </w:r>
            <w:r w:rsidR="00911DBC">
              <w:rPr>
                <w:rFonts w:cs="Arial"/>
                <w:color w:val="000000"/>
              </w:rPr>
              <w:t xml:space="preserve"> </w:t>
            </w:r>
          </w:p>
        </w:tc>
        <w:tc>
          <w:tcPr>
            <w:tcW w:w="5954" w:type="dxa"/>
          </w:tcPr>
          <w:p w:rsidR="00CC3E07" w:rsidRPr="00015C82" w:rsidRDefault="00CC3E07">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Date and time at which the person presents for the service</w:t>
            </w:r>
          </w:p>
        </w:tc>
        <w:tc>
          <w:tcPr>
            <w:tcW w:w="5386" w:type="dxa"/>
          </w:tcPr>
          <w:p w:rsidR="00CC3E07" w:rsidRPr="00015C82" w:rsidRDefault="00CC3E07"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DDMMYYY and HH:MM (24 hour format)</w:t>
            </w:r>
          </w:p>
        </w:tc>
      </w:tr>
      <w:tr w:rsidR="00CC3E07" w:rsidRPr="00015C82"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C3E07" w:rsidRPr="00015C82" w:rsidRDefault="00CC3E07" w:rsidP="00280E5C">
            <w:pPr>
              <w:rPr>
                <w:rFonts w:cs="Arial"/>
                <w:color w:val="000000"/>
              </w:rPr>
            </w:pPr>
            <w:r w:rsidRPr="00015C82">
              <w:rPr>
                <w:rFonts w:cs="Arial"/>
                <w:color w:val="000000"/>
              </w:rPr>
              <w:t>Triage date and time</w:t>
            </w:r>
          </w:p>
        </w:tc>
        <w:tc>
          <w:tcPr>
            <w:tcW w:w="5954" w:type="dxa"/>
          </w:tcPr>
          <w:p w:rsidR="00CC3E07" w:rsidRPr="00015C82" w:rsidRDefault="00CC3E07">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Date and time at which the person is assessed by a Triage nurse</w:t>
            </w:r>
            <w:r w:rsidR="006302A2" w:rsidRPr="00015C82">
              <w:rPr>
                <w:rFonts w:cs="Arial"/>
              </w:rPr>
              <w:t xml:space="preserve"> </w:t>
            </w:r>
          </w:p>
        </w:tc>
        <w:tc>
          <w:tcPr>
            <w:tcW w:w="5386" w:type="dxa"/>
          </w:tcPr>
          <w:p w:rsidR="00CC3E07" w:rsidRPr="00015C82" w:rsidRDefault="00CC3E07" w:rsidP="00FB25CF">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DDMMYYY and HH:MM (24 hour format)</w:t>
            </w:r>
          </w:p>
        </w:tc>
      </w:tr>
      <w:tr w:rsidR="001A63A4" w:rsidRPr="00015C82" w:rsidTr="00F26D02">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A63A4" w:rsidRPr="00015C82" w:rsidRDefault="001A63A4" w:rsidP="00F26D02">
            <w:pPr>
              <w:rPr>
                <w:rFonts w:cs="Arial"/>
                <w:color w:val="000000"/>
              </w:rPr>
            </w:pPr>
            <w:r w:rsidRPr="00015C82">
              <w:rPr>
                <w:rFonts w:cs="Arial"/>
                <w:color w:val="000000"/>
              </w:rPr>
              <w:t>Mode of arrival</w:t>
            </w:r>
          </w:p>
        </w:tc>
        <w:tc>
          <w:tcPr>
            <w:tcW w:w="5954" w:type="dxa"/>
          </w:tcPr>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Mode of transport by which the person arrives</w:t>
            </w:r>
          </w:p>
        </w:tc>
        <w:tc>
          <w:tcPr>
            <w:tcW w:w="5386" w:type="dxa"/>
          </w:tcPr>
          <w:p w:rsidR="001A63A4"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01 = </w:t>
            </w:r>
            <w:r>
              <w:rPr>
                <w:rFonts w:cs="Arial"/>
              </w:rPr>
              <w:t>ACT Ambulance</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Pr>
                <w:rFonts w:cs="Arial"/>
              </w:rPr>
              <w:t>02 = Ambulance (Services)</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03 = </w:t>
            </w:r>
            <w:r>
              <w:rPr>
                <w:rFonts w:cs="Arial"/>
              </w:rPr>
              <w:t>Air Ambulance</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04 = </w:t>
            </w:r>
            <w:r>
              <w:rPr>
                <w:rFonts w:cs="Arial"/>
              </w:rPr>
              <w:t>NSW Ambulance</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05 = </w:t>
            </w:r>
            <w:r>
              <w:rPr>
                <w:rFonts w:cs="Arial"/>
              </w:rPr>
              <w:t>Bicycle</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06 = </w:t>
            </w:r>
            <w:r>
              <w:rPr>
                <w:rFonts w:cs="Arial"/>
              </w:rPr>
              <w:t>Clinic car</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07 = </w:t>
            </w:r>
            <w:r>
              <w:rPr>
                <w:rFonts w:cs="Arial"/>
              </w:rPr>
              <w:t>Community / public transport</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08 = </w:t>
            </w:r>
            <w:r>
              <w:rPr>
                <w:rFonts w:cs="Arial"/>
              </w:rPr>
              <w:t>Hospital transport</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09 = </w:t>
            </w:r>
            <w:r>
              <w:rPr>
                <w:rFonts w:cs="Arial"/>
              </w:rPr>
              <w:t>Motor bike</w:t>
            </w:r>
          </w:p>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10 = </w:t>
            </w:r>
            <w:r>
              <w:rPr>
                <w:rFonts w:cs="Arial"/>
              </w:rPr>
              <w:t>Other including undertakers</w:t>
            </w:r>
          </w:p>
          <w:p w:rsidR="001A63A4"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11 = </w:t>
            </w:r>
            <w:r>
              <w:rPr>
                <w:rFonts w:cs="Arial"/>
              </w:rPr>
              <w:t>Private car</w:t>
            </w:r>
          </w:p>
          <w:p w:rsidR="001A63A4"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12 = Police vehicle</w:t>
            </w:r>
          </w:p>
          <w:p w:rsidR="001A63A4"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13 = Taxi</w:t>
            </w:r>
          </w:p>
          <w:p w:rsidR="001A63A4"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14 = Walk</w:t>
            </w:r>
          </w:p>
          <w:p w:rsidR="001A63A4"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Pr>
                <w:rFonts w:cs="Arial"/>
              </w:rPr>
              <w:t>15 = Correctional services vehicle</w:t>
            </w:r>
          </w:p>
          <w:p w:rsidR="001A63A4" w:rsidRPr="00015C82" w:rsidRDefault="001A63A4" w:rsidP="00164EE2">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99 = Other/unknown</w:t>
            </w:r>
          </w:p>
        </w:tc>
      </w:tr>
      <w:tr w:rsidR="001A63A4" w:rsidRPr="00015C82" w:rsidTr="00F26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A63A4" w:rsidRPr="00015C82" w:rsidRDefault="001A63A4" w:rsidP="00F237E6">
            <w:pPr>
              <w:rPr>
                <w:rFonts w:cs="Arial"/>
                <w:color w:val="000000"/>
              </w:rPr>
            </w:pPr>
            <w:r w:rsidRPr="00015C82">
              <w:rPr>
                <w:rFonts w:cs="Arial"/>
                <w:color w:val="000000"/>
              </w:rPr>
              <w:t>Type of visit</w:t>
            </w:r>
          </w:p>
        </w:tc>
        <w:tc>
          <w:tcPr>
            <w:tcW w:w="5954" w:type="dxa"/>
          </w:tcPr>
          <w:p w:rsidR="001A63A4" w:rsidRPr="00015C82" w:rsidRDefault="001A63A4" w:rsidP="00164EE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The reason the person presents to the Emergency Department</w:t>
            </w:r>
          </w:p>
        </w:tc>
        <w:tc>
          <w:tcPr>
            <w:tcW w:w="5386" w:type="dxa"/>
          </w:tcPr>
          <w:p w:rsidR="001A63A4" w:rsidRPr="00015C82" w:rsidRDefault="001A63A4"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01 = Emergency presentation</w:t>
            </w:r>
          </w:p>
          <w:p w:rsidR="001A63A4" w:rsidRPr="00015C82" w:rsidRDefault="001A63A4" w:rsidP="00005728">
            <w:pPr>
              <w:cnfStyle w:val="000000100000" w:firstRow="0" w:lastRow="0" w:firstColumn="0" w:lastColumn="0" w:oddVBand="0" w:evenVBand="0" w:oddHBand="1" w:evenHBand="0" w:firstRowFirstColumn="0" w:firstRowLastColumn="0" w:lastRowFirstColumn="0" w:lastRowLastColumn="0"/>
              <w:rPr>
                <w:rFonts w:cs="Arial"/>
              </w:rPr>
            </w:pPr>
            <w:r>
              <w:rPr>
                <w:rFonts w:cs="Arial"/>
              </w:rPr>
              <w:t>02 = Return visit</w:t>
            </w:r>
          </w:p>
          <w:p w:rsidR="001A63A4" w:rsidRPr="00015C82" w:rsidRDefault="001A63A4"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03 = </w:t>
            </w:r>
            <w:r w:rsidRPr="001E09B3">
              <w:rPr>
                <w:rFonts w:cs="Arial"/>
              </w:rPr>
              <w:t>Pre-arranged admission</w:t>
            </w:r>
          </w:p>
          <w:p w:rsidR="001A63A4" w:rsidRPr="00015C82" w:rsidRDefault="001A63A4" w:rsidP="00005728">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 xml:space="preserve">04 = </w:t>
            </w:r>
            <w:r>
              <w:rPr>
                <w:rFonts w:cs="Arial"/>
              </w:rPr>
              <w:t>Patient in transit</w:t>
            </w:r>
          </w:p>
          <w:p w:rsidR="001A63A4" w:rsidRPr="00015C82" w:rsidRDefault="001A63A4" w:rsidP="00F26D02">
            <w:pPr>
              <w:cnfStyle w:val="000000100000" w:firstRow="0" w:lastRow="0" w:firstColumn="0" w:lastColumn="0" w:oddVBand="0" w:evenVBand="0" w:oddHBand="1" w:evenHBand="0" w:firstRowFirstColumn="0" w:firstRowLastColumn="0" w:lastRowFirstColumn="0" w:lastRowLastColumn="0"/>
              <w:rPr>
                <w:rFonts w:cs="Arial"/>
              </w:rPr>
            </w:pPr>
            <w:r w:rsidRPr="00015C82">
              <w:rPr>
                <w:rFonts w:cs="Arial"/>
              </w:rPr>
              <w:t>05 = Dead on arrival</w:t>
            </w:r>
          </w:p>
        </w:tc>
      </w:tr>
      <w:tr w:rsidR="001A63A4" w:rsidRPr="00015C82" w:rsidTr="00F26D02">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A63A4" w:rsidRPr="00015C82" w:rsidRDefault="001A63A4" w:rsidP="00F26D02">
            <w:pPr>
              <w:rPr>
                <w:rFonts w:cs="Arial"/>
                <w:color w:val="000000"/>
              </w:rPr>
            </w:pPr>
            <w:r w:rsidRPr="00015C82">
              <w:rPr>
                <w:rFonts w:cs="Arial"/>
                <w:color w:val="000000"/>
              </w:rPr>
              <w:lastRenderedPageBreak/>
              <w:t>Referral source</w:t>
            </w:r>
          </w:p>
        </w:tc>
        <w:tc>
          <w:tcPr>
            <w:tcW w:w="5954" w:type="dxa"/>
          </w:tcPr>
          <w:p w:rsidR="001A63A4" w:rsidRPr="00015C82" w:rsidRDefault="001A63A4" w:rsidP="00F26D02">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Source from which the person was referred to this service</w:t>
            </w:r>
          </w:p>
        </w:tc>
        <w:tc>
          <w:tcPr>
            <w:tcW w:w="5386" w:type="dxa"/>
          </w:tcPr>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01 = Self, family, friends</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02 = </w:t>
            </w:r>
            <w:r>
              <w:rPr>
                <w:rFonts w:cs="Arial"/>
              </w:rPr>
              <w:t>Community based s</w:t>
            </w:r>
            <w:r w:rsidRPr="00015C82">
              <w:rPr>
                <w:rFonts w:cs="Arial"/>
              </w:rPr>
              <w:t>pecialist</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03 = Outpatients</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04 = </w:t>
            </w:r>
            <w:r>
              <w:rPr>
                <w:rFonts w:cs="Arial"/>
              </w:rPr>
              <w:t>Community based GP</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05 = Residential Aged Care facility</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06 = Other ACT hospital</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07 = </w:t>
            </w:r>
            <w:r>
              <w:rPr>
                <w:rFonts w:cs="Arial"/>
              </w:rPr>
              <w:t>Non-ACT hospital</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08 = Mental health</w:t>
            </w:r>
            <w:r>
              <w:rPr>
                <w:rFonts w:cs="Arial"/>
              </w:rPr>
              <w:t xml:space="preserve"> team</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5C82">
              <w:rPr>
                <w:rFonts w:cs="Arial"/>
              </w:rPr>
              <w:t xml:space="preserve"> = Community </w:t>
            </w:r>
            <w:r>
              <w:rPr>
                <w:rFonts w:cs="Arial"/>
              </w:rPr>
              <w:t>health centre or service</w:t>
            </w:r>
          </w:p>
          <w:p w:rsidR="001A63A4"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1</w:t>
            </w:r>
            <w:r>
              <w:rPr>
                <w:rFonts w:cs="Arial"/>
              </w:rPr>
              <w:t>0</w:t>
            </w:r>
            <w:r w:rsidRPr="00015C82">
              <w:rPr>
                <w:rFonts w:cs="Arial"/>
              </w:rPr>
              <w:t xml:space="preserve"> = Other </w:t>
            </w:r>
            <w:r>
              <w:rPr>
                <w:rFonts w:cs="Arial"/>
              </w:rPr>
              <w:t>c</w:t>
            </w:r>
            <w:r w:rsidRPr="00015C82">
              <w:rPr>
                <w:rFonts w:cs="Arial"/>
              </w:rPr>
              <w:t xml:space="preserve">ommunity </w:t>
            </w:r>
            <w:r>
              <w:rPr>
                <w:rFonts w:cs="Arial"/>
              </w:rPr>
              <w:t>s</w:t>
            </w:r>
            <w:r w:rsidRPr="00015C82">
              <w:rPr>
                <w:rFonts w:cs="Arial"/>
              </w:rPr>
              <w:t>ervice</w:t>
            </w:r>
            <w:r>
              <w:rPr>
                <w:rFonts w:cs="Arial"/>
              </w:rPr>
              <w:t>s</w:t>
            </w:r>
          </w:p>
          <w:p w:rsidR="001A63A4"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11 = Prison</w:t>
            </w:r>
          </w:p>
          <w:p w:rsidR="001A63A4"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12 = Police</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Pr>
                <w:rFonts w:cs="Arial"/>
              </w:rPr>
              <w:t>13 = Ambulance</w:t>
            </w:r>
          </w:p>
          <w:p w:rsidR="001A63A4" w:rsidRPr="00015C82" w:rsidRDefault="001A63A4" w:rsidP="00FB25C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14 = </w:t>
            </w:r>
            <w:r>
              <w:rPr>
                <w:rFonts w:cs="Arial"/>
              </w:rPr>
              <w:t>Health First call centre</w:t>
            </w:r>
          </w:p>
          <w:p w:rsidR="001A63A4" w:rsidRPr="00015C82" w:rsidRDefault="001A63A4"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17 = </w:t>
            </w:r>
            <w:r>
              <w:rPr>
                <w:rFonts w:cs="Arial"/>
              </w:rPr>
              <w:t>Defence hospital</w:t>
            </w:r>
          </w:p>
          <w:p w:rsidR="001A63A4" w:rsidRPr="00015C82" w:rsidRDefault="001A63A4"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18 = </w:t>
            </w:r>
            <w:r>
              <w:rPr>
                <w:rFonts w:cs="Arial"/>
              </w:rPr>
              <w:t>Canberra Hospital</w:t>
            </w:r>
          </w:p>
          <w:p w:rsidR="001A63A4" w:rsidRDefault="001A63A4" w:rsidP="00FB25CF">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 xml:space="preserve">19 = </w:t>
            </w:r>
            <w:r>
              <w:rPr>
                <w:rFonts w:cs="Arial"/>
              </w:rPr>
              <w:t>Calvary Public hospital</w:t>
            </w:r>
          </w:p>
          <w:p w:rsidR="001A63A4" w:rsidRPr="00015C82" w:rsidRDefault="001A63A4" w:rsidP="00FB25CF">
            <w:pPr>
              <w:cnfStyle w:val="000000000000" w:firstRow="0" w:lastRow="0" w:firstColumn="0" w:lastColumn="0" w:oddVBand="0" w:evenVBand="0" w:oddHBand="0" w:evenHBand="0" w:firstRowFirstColumn="0" w:firstRowLastColumn="0" w:lastRowFirstColumn="0" w:lastRowLastColumn="0"/>
              <w:rPr>
                <w:rFonts w:cs="Arial"/>
              </w:rPr>
            </w:pPr>
            <w:r>
              <w:rPr>
                <w:rFonts w:cs="Arial"/>
              </w:rPr>
              <w:t>98 = Unspecified</w:t>
            </w:r>
          </w:p>
          <w:p w:rsidR="001A63A4" w:rsidRPr="00015C82" w:rsidRDefault="001A63A4" w:rsidP="001E09B3">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99 = Other</w:t>
            </w:r>
            <w:r>
              <w:rPr>
                <w:rFonts w:cs="Arial"/>
              </w:rPr>
              <w:t>/unknown</w:t>
            </w:r>
          </w:p>
        </w:tc>
      </w:tr>
      <w:tr w:rsidR="001A63A4" w:rsidRPr="00015C82" w:rsidTr="002A06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A63A4" w:rsidRPr="00015C82" w:rsidRDefault="001A63A4" w:rsidP="00005728">
            <w:pPr>
              <w:rPr>
                <w:rFonts w:cs="Arial"/>
                <w:color w:val="000000"/>
              </w:rPr>
            </w:pPr>
            <w:r>
              <w:rPr>
                <w:rFonts w:cs="Arial"/>
                <w:color w:val="000000"/>
              </w:rPr>
              <w:t>ICD</w:t>
            </w:r>
            <w:r w:rsidRPr="00D306FA">
              <w:rPr>
                <w:rFonts w:cs="Arial"/>
                <w:color w:val="000000"/>
                <w:lang w:bidi="en-US"/>
              </w:rPr>
              <w:t>-10-AM</w:t>
            </w:r>
            <w:r>
              <w:rPr>
                <w:rFonts w:cs="Arial"/>
                <w:color w:val="000000"/>
              </w:rPr>
              <w:t xml:space="preserve"> Edition </w:t>
            </w:r>
          </w:p>
        </w:tc>
        <w:tc>
          <w:tcPr>
            <w:tcW w:w="5954" w:type="dxa"/>
            <w:shd w:val="clear" w:color="auto" w:fill="auto"/>
          </w:tcPr>
          <w:p w:rsidR="001A63A4" w:rsidRPr="00015C82" w:rsidRDefault="001A63A4" w:rsidP="00005728">
            <w:pPr>
              <w:cnfStyle w:val="000000100000" w:firstRow="0" w:lastRow="0" w:firstColumn="0" w:lastColumn="0" w:oddVBand="0" w:evenVBand="0" w:oddHBand="1" w:evenHBand="0" w:firstRowFirstColumn="0" w:firstRowLastColumn="0" w:lastRowFirstColumn="0" w:lastRowLastColumn="0"/>
              <w:rPr>
                <w:rFonts w:cs="Arial"/>
              </w:rPr>
            </w:pPr>
            <w:r>
              <w:rPr>
                <w:rFonts w:cs="Arial"/>
              </w:rPr>
              <w:t>International Classification of Diseases Edition and Version of diagnosis codes</w:t>
            </w:r>
          </w:p>
        </w:tc>
        <w:tc>
          <w:tcPr>
            <w:tcW w:w="5386" w:type="dxa"/>
            <w:shd w:val="clear" w:color="auto" w:fill="auto"/>
          </w:tcPr>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1 = ICD-10-AM Ed 1</w:t>
            </w:r>
          </w:p>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2 = ICD-10-AM Ed 2</w:t>
            </w:r>
          </w:p>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3 = ICD-10-AM Ed 3</w:t>
            </w:r>
          </w:p>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4 = ICD-10-AM Ed 4</w:t>
            </w:r>
          </w:p>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5 = ICD-10-AM Ed 5</w:t>
            </w:r>
          </w:p>
          <w:p w:rsidR="001A63A4" w:rsidRDefault="001A63A4" w:rsidP="004B6BC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6 = ICD-10-AM Ed 6 </w:t>
            </w:r>
          </w:p>
          <w:p w:rsidR="001A63A4" w:rsidRPr="00015C82" w:rsidRDefault="001A63A4" w:rsidP="00935C29">
            <w:pPr>
              <w:cnfStyle w:val="000000100000" w:firstRow="0" w:lastRow="0" w:firstColumn="0" w:lastColumn="0" w:oddVBand="0" w:evenVBand="0" w:oddHBand="1" w:evenHBand="0" w:firstRowFirstColumn="0" w:firstRowLastColumn="0" w:lastRowFirstColumn="0" w:lastRowLastColumn="0"/>
              <w:rPr>
                <w:rFonts w:cs="Arial"/>
              </w:rPr>
            </w:pPr>
            <w:r w:rsidRPr="00D6574E">
              <w:rPr>
                <w:rFonts w:cs="Arial"/>
              </w:rPr>
              <w:t xml:space="preserve">7 = ICD-10-AM Ed 7 </w:t>
            </w:r>
          </w:p>
        </w:tc>
      </w:tr>
      <w:tr w:rsidR="001A63A4" w:rsidRPr="00015C82" w:rsidTr="002A0699">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A63A4" w:rsidRPr="00015C82" w:rsidRDefault="001A63A4" w:rsidP="00CE70BD">
            <w:pPr>
              <w:rPr>
                <w:rFonts w:cs="Arial"/>
                <w:color w:val="000000"/>
              </w:rPr>
            </w:pPr>
            <w:r w:rsidRPr="00015C82">
              <w:rPr>
                <w:rFonts w:cs="Arial"/>
                <w:color w:val="000000"/>
              </w:rPr>
              <w:t xml:space="preserve">Diagnosis </w:t>
            </w:r>
            <w:r>
              <w:rPr>
                <w:rFonts w:cs="Arial"/>
                <w:color w:val="000000"/>
              </w:rPr>
              <w:t xml:space="preserve"> </w:t>
            </w:r>
          </w:p>
        </w:tc>
        <w:tc>
          <w:tcPr>
            <w:tcW w:w="5954" w:type="dxa"/>
          </w:tcPr>
          <w:p w:rsidR="001A63A4" w:rsidRPr="00015C82" w:rsidRDefault="001A63A4">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The diagnosis or condition established after assessment to be responsible for the person presenting to the Emergency Department.</w:t>
            </w:r>
          </w:p>
          <w:p w:rsidR="001A63A4" w:rsidRPr="00015C82" w:rsidRDefault="001A63A4">
            <w:pPr>
              <w:cnfStyle w:val="000000000000" w:firstRow="0" w:lastRow="0" w:firstColumn="0" w:lastColumn="0" w:oddVBand="0" w:evenVBand="0" w:oddHBand="0" w:evenHBand="0" w:firstRowFirstColumn="0" w:firstRowLastColumn="0" w:lastRowFirstColumn="0" w:lastRowLastColumn="0"/>
              <w:rPr>
                <w:rFonts w:cs="Arial"/>
              </w:rPr>
            </w:pPr>
            <w:r w:rsidRPr="00015C82">
              <w:rPr>
                <w:rFonts w:cs="Arial"/>
              </w:rPr>
              <w:t>If the person is admitted as an inpatient it is the equivalent of the admission diagnosis.</w:t>
            </w:r>
          </w:p>
        </w:tc>
        <w:tc>
          <w:tcPr>
            <w:tcW w:w="5386" w:type="dxa"/>
          </w:tcPr>
          <w:p w:rsidR="001A63A4" w:rsidRPr="00015C82" w:rsidRDefault="001A63A4" w:rsidP="00FB25CF">
            <w:pPr>
              <w:cnfStyle w:val="000000000000" w:firstRow="0" w:lastRow="0" w:firstColumn="0" w:lastColumn="0" w:oddVBand="0" w:evenVBand="0" w:oddHBand="0" w:evenHBand="0" w:firstRowFirstColumn="0" w:firstRowLastColumn="0" w:lastRowFirstColumn="0" w:lastRowLastColumn="0"/>
              <w:rPr>
                <w:rFonts w:cs="Arial"/>
              </w:rPr>
            </w:pPr>
            <w:r>
              <w:rPr>
                <w:rFonts w:cs="Arial"/>
              </w:rPr>
              <w:t>ICD Edition and Version as noted in “ICD</w:t>
            </w:r>
            <w:r w:rsidRPr="00D306FA">
              <w:rPr>
                <w:rFonts w:cs="Arial"/>
                <w:lang w:bidi="en-US"/>
              </w:rPr>
              <w:t>-10-AM</w:t>
            </w:r>
            <w:r>
              <w:rPr>
                <w:rFonts w:cs="Arial"/>
              </w:rPr>
              <w:t xml:space="preserve"> Edition” variable</w:t>
            </w:r>
          </w:p>
        </w:tc>
      </w:tr>
    </w:tbl>
    <w:p w:rsidR="00E05F4A" w:rsidRPr="000044DE" w:rsidRDefault="00E05F4A" w:rsidP="00DC6046">
      <w:pPr>
        <w:rPr>
          <w:rFonts w:cs="Arial"/>
          <w:sz w:val="20"/>
          <w:szCs w:val="20"/>
        </w:rPr>
      </w:pPr>
      <w:bookmarkStart w:id="2" w:name="_GoBack"/>
      <w:bookmarkEnd w:id="1"/>
      <w:bookmarkEnd w:id="2"/>
    </w:p>
    <w:sectPr w:rsidR="00E05F4A" w:rsidRPr="000044DE" w:rsidSect="00B8194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0D" w:rsidRDefault="0091720D" w:rsidP="00D65965">
      <w:pPr>
        <w:spacing w:after="0" w:line="240" w:lineRule="auto"/>
      </w:pPr>
      <w:r>
        <w:separator/>
      </w:r>
    </w:p>
  </w:endnote>
  <w:endnote w:type="continuationSeparator" w:id="0">
    <w:p w:rsidR="0091720D" w:rsidRDefault="0091720D"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613"/>
      <w:gridCol w:w="13575"/>
    </w:tblGrid>
    <w:tr w:rsidR="0091720D" w:rsidTr="00F00049">
      <w:tc>
        <w:tcPr>
          <w:tcW w:w="216" w:type="pct"/>
        </w:tcPr>
        <w:p w:rsidR="0091720D" w:rsidRPr="000044DE" w:rsidRDefault="00A20790" w:rsidP="00F00049">
          <w:pPr>
            <w:pStyle w:val="Footer"/>
            <w:rPr>
              <w:rFonts w:ascii="Corbel" w:hAnsi="Corbel"/>
              <w:color w:val="53548A" w:themeColor="accent1"/>
            </w:rPr>
          </w:pPr>
          <w:r w:rsidRPr="000044DE">
            <w:rPr>
              <w:rFonts w:ascii="Corbel" w:hAnsi="Corbel"/>
            </w:rPr>
            <w:fldChar w:fldCharType="begin"/>
          </w:r>
          <w:r w:rsidR="0091720D" w:rsidRPr="000044DE">
            <w:rPr>
              <w:rFonts w:ascii="Corbel" w:hAnsi="Corbel"/>
            </w:rPr>
            <w:instrText xml:space="preserve"> PAGE   \* MERGEFORMAT </w:instrText>
          </w:r>
          <w:r w:rsidRPr="000044DE">
            <w:rPr>
              <w:rFonts w:ascii="Corbel" w:hAnsi="Corbel"/>
            </w:rPr>
            <w:fldChar w:fldCharType="separate"/>
          </w:r>
          <w:r w:rsidR="003A1975" w:rsidRPr="003A1975">
            <w:rPr>
              <w:rFonts w:ascii="Corbel" w:hAnsi="Corbel"/>
              <w:noProof/>
              <w:color w:val="53548A" w:themeColor="accent1"/>
            </w:rPr>
            <w:t>6</w:t>
          </w:r>
          <w:r w:rsidRPr="000044DE">
            <w:rPr>
              <w:rFonts w:ascii="Corbel" w:hAnsi="Corbel"/>
            </w:rPr>
            <w:fldChar w:fldCharType="end"/>
          </w:r>
        </w:p>
      </w:tc>
      <w:tc>
        <w:tcPr>
          <w:tcW w:w="4784" w:type="pct"/>
        </w:tcPr>
        <w:p w:rsidR="0091720D" w:rsidRPr="000044DE" w:rsidRDefault="0091720D" w:rsidP="001A63A4">
          <w:pPr>
            <w:pStyle w:val="Footer"/>
            <w:rPr>
              <w:rFonts w:ascii="Corbel" w:hAnsi="Corbel"/>
              <w:color w:val="53548A" w:themeColor="accent1"/>
            </w:rPr>
          </w:pPr>
          <w:r>
            <w:rPr>
              <w:rFonts w:ascii="Corbel" w:hAnsi="Corbel"/>
              <w:color w:val="53548A" w:themeColor="accent1"/>
            </w:rPr>
            <w:t xml:space="preserve">ACT </w:t>
          </w:r>
          <w:r w:rsidRPr="000044DE">
            <w:rPr>
              <w:rFonts w:ascii="Corbel" w:hAnsi="Corbel"/>
              <w:color w:val="53548A" w:themeColor="accent1"/>
            </w:rPr>
            <w:t>Emergency Department Data Collection</w:t>
          </w:r>
          <w:r w:rsidR="002F1C2B">
            <w:rPr>
              <w:rFonts w:ascii="Corbel" w:hAnsi="Corbel"/>
              <w:color w:val="53548A" w:themeColor="accent1"/>
            </w:rPr>
            <w:t xml:space="preserve">                                       </w:t>
          </w:r>
          <w:r w:rsidR="0070548F">
            <w:rPr>
              <w:rFonts w:ascii="Corbel" w:hAnsi="Corbel"/>
              <w:color w:val="53548A" w:themeColor="accent1"/>
            </w:rPr>
            <w:t>Updated</w:t>
          </w:r>
          <w:r w:rsidR="002F1C2B">
            <w:rPr>
              <w:rFonts w:ascii="Corbel" w:hAnsi="Corbel"/>
              <w:color w:val="53548A" w:themeColor="accent1"/>
            </w:rPr>
            <w:t xml:space="preserve"> </w:t>
          </w:r>
          <w:r w:rsidR="001A63A4">
            <w:rPr>
              <w:rFonts w:ascii="Corbel" w:hAnsi="Corbel"/>
              <w:color w:val="53548A" w:themeColor="accent1"/>
            </w:rPr>
            <w:t>March 2018</w:t>
          </w:r>
        </w:p>
      </w:tc>
    </w:tr>
  </w:tbl>
  <w:p w:rsidR="0091720D" w:rsidRDefault="0091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0D" w:rsidRDefault="0091720D" w:rsidP="00D65965">
      <w:pPr>
        <w:spacing w:after="0" w:line="240" w:lineRule="auto"/>
      </w:pPr>
      <w:r>
        <w:separator/>
      </w:r>
    </w:p>
  </w:footnote>
  <w:footnote w:type="continuationSeparator" w:id="0">
    <w:p w:rsidR="0091720D" w:rsidRDefault="0091720D" w:rsidP="00D6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501"/>
    <w:multiLevelType w:val="hybridMultilevel"/>
    <w:tmpl w:val="370C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10B88"/>
    <w:multiLevelType w:val="hybridMultilevel"/>
    <w:tmpl w:val="1482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11"/>
  </w:num>
  <w:num w:numId="6">
    <w:abstractNumId w:val="7"/>
  </w:num>
  <w:num w:numId="7">
    <w:abstractNumId w:val="9"/>
  </w:num>
  <w:num w:numId="8">
    <w:abstractNumId w:val="8"/>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73729">
      <o:colormenu v:ext="edit" fill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5F4A"/>
    <w:rsid w:val="000044DE"/>
    <w:rsid w:val="00005728"/>
    <w:rsid w:val="000073CE"/>
    <w:rsid w:val="00015C82"/>
    <w:rsid w:val="000231DC"/>
    <w:rsid w:val="00037C4C"/>
    <w:rsid w:val="0004138F"/>
    <w:rsid w:val="00042765"/>
    <w:rsid w:val="00057F18"/>
    <w:rsid w:val="000633E7"/>
    <w:rsid w:val="000667D5"/>
    <w:rsid w:val="00075BC8"/>
    <w:rsid w:val="00077683"/>
    <w:rsid w:val="00077816"/>
    <w:rsid w:val="000811D6"/>
    <w:rsid w:val="000842B6"/>
    <w:rsid w:val="000A055E"/>
    <w:rsid w:val="000B6493"/>
    <w:rsid w:val="000C0821"/>
    <w:rsid w:val="000E6770"/>
    <w:rsid w:val="000F2F12"/>
    <w:rsid w:val="000F70D4"/>
    <w:rsid w:val="00105D7C"/>
    <w:rsid w:val="0013216B"/>
    <w:rsid w:val="00144E32"/>
    <w:rsid w:val="00152E8E"/>
    <w:rsid w:val="00164EE2"/>
    <w:rsid w:val="001A63A4"/>
    <w:rsid w:val="001B0E02"/>
    <w:rsid w:val="001C187F"/>
    <w:rsid w:val="001E09B3"/>
    <w:rsid w:val="001E72E6"/>
    <w:rsid w:val="00203A01"/>
    <w:rsid w:val="00215F58"/>
    <w:rsid w:val="00262170"/>
    <w:rsid w:val="002742E8"/>
    <w:rsid w:val="00276EEF"/>
    <w:rsid w:val="00280E5C"/>
    <w:rsid w:val="00284625"/>
    <w:rsid w:val="002919A8"/>
    <w:rsid w:val="0029621F"/>
    <w:rsid w:val="002A79F8"/>
    <w:rsid w:val="002B1D54"/>
    <w:rsid w:val="002B629E"/>
    <w:rsid w:val="002C244C"/>
    <w:rsid w:val="002D53AC"/>
    <w:rsid w:val="002F1C2B"/>
    <w:rsid w:val="00305A7A"/>
    <w:rsid w:val="0034351C"/>
    <w:rsid w:val="003640DC"/>
    <w:rsid w:val="00373EB1"/>
    <w:rsid w:val="00390EF9"/>
    <w:rsid w:val="00392D3F"/>
    <w:rsid w:val="003A1975"/>
    <w:rsid w:val="003D73A7"/>
    <w:rsid w:val="003E02F9"/>
    <w:rsid w:val="003F0A78"/>
    <w:rsid w:val="00422CB4"/>
    <w:rsid w:val="00427E9E"/>
    <w:rsid w:val="0043390E"/>
    <w:rsid w:val="00453DF3"/>
    <w:rsid w:val="00486DF6"/>
    <w:rsid w:val="00495DFD"/>
    <w:rsid w:val="004B27CF"/>
    <w:rsid w:val="004B5B1E"/>
    <w:rsid w:val="004B6110"/>
    <w:rsid w:val="004D65C4"/>
    <w:rsid w:val="004E4331"/>
    <w:rsid w:val="00510062"/>
    <w:rsid w:val="005303E8"/>
    <w:rsid w:val="005479F6"/>
    <w:rsid w:val="00563EFE"/>
    <w:rsid w:val="0058750A"/>
    <w:rsid w:val="005919B2"/>
    <w:rsid w:val="00592C5F"/>
    <w:rsid w:val="005C680C"/>
    <w:rsid w:val="005E2800"/>
    <w:rsid w:val="00603A8E"/>
    <w:rsid w:val="006222AD"/>
    <w:rsid w:val="006302A2"/>
    <w:rsid w:val="0063240D"/>
    <w:rsid w:val="00641933"/>
    <w:rsid w:val="0064388A"/>
    <w:rsid w:val="00651362"/>
    <w:rsid w:val="00660FE8"/>
    <w:rsid w:val="0068207C"/>
    <w:rsid w:val="006872AA"/>
    <w:rsid w:val="006875AC"/>
    <w:rsid w:val="006A08AA"/>
    <w:rsid w:val="006B0348"/>
    <w:rsid w:val="0070283C"/>
    <w:rsid w:val="0070548F"/>
    <w:rsid w:val="00735AC3"/>
    <w:rsid w:val="00736201"/>
    <w:rsid w:val="00773E09"/>
    <w:rsid w:val="007A61C1"/>
    <w:rsid w:val="007C47FD"/>
    <w:rsid w:val="00802133"/>
    <w:rsid w:val="008079B1"/>
    <w:rsid w:val="00824E33"/>
    <w:rsid w:val="00850863"/>
    <w:rsid w:val="00855EE7"/>
    <w:rsid w:val="0086489A"/>
    <w:rsid w:val="00872A9F"/>
    <w:rsid w:val="00873C67"/>
    <w:rsid w:val="008C1218"/>
    <w:rsid w:val="008C4FF5"/>
    <w:rsid w:val="008D6259"/>
    <w:rsid w:val="00911DBC"/>
    <w:rsid w:val="009157DF"/>
    <w:rsid w:val="00916DB7"/>
    <w:rsid w:val="0091720D"/>
    <w:rsid w:val="00922FE1"/>
    <w:rsid w:val="009243BF"/>
    <w:rsid w:val="009314CE"/>
    <w:rsid w:val="00935C29"/>
    <w:rsid w:val="00940E57"/>
    <w:rsid w:val="009544F3"/>
    <w:rsid w:val="009612D9"/>
    <w:rsid w:val="0096739F"/>
    <w:rsid w:val="009B1077"/>
    <w:rsid w:val="009B6893"/>
    <w:rsid w:val="009C70D2"/>
    <w:rsid w:val="009E4B93"/>
    <w:rsid w:val="009F436C"/>
    <w:rsid w:val="00A0664B"/>
    <w:rsid w:val="00A20790"/>
    <w:rsid w:val="00A2471C"/>
    <w:rsid w:val="00A26B43"/>
    <w:rsid w:val="00A3654A"/>
    <w:rsid w:val="00A4027E"/>
    <w:rsid w:val="00A47363"/>
    <w:rsid w:val="00A719E4"/>
    <w:rsid w:val="00A9218D"/>
    <w:rsid w:val="00A93481"/>
    <w:rsid w:val="00AA30CD"/>
    <w:rsid w:val="00AB2086"/>
    <w:rsid w:val="00AB788E"/>
    <w:rsid w:val="00AC5418"/>
    <w:rsid w:val="00AF1C84"/>
    <w:rsid w:val="00B15016"/>
    <w:rsid w:val="00B32323"/>
    <w:rsid w:val="00B37AC4"/>
    <w:rsid w:val="00B37AD6"/>
    <w:rsid w:val="00B42A1B"/>
    <w:rsid w:val="00B42EB0"/>
    <w:rsid w:val="00B452BB"/>
    <w:rsid w:val="00B81941"/>
    <w:rsid w:val="00B918DB"/>
    <w:rsid w:val="00BA3E29"/>
    <w:rsid w:val="00BB5175"/>
    <w:rsid w:val="00BC6DC6"/>
    <w:rsid w:val="00BD6974"/>
    <w:rsid w:val="00BE5D96"/>
    <w:rsid w:val="00BF6C86"/>
    <w:rsid w:val="00C06E0C"/>
    <w:rsid w:val="00C16763"/>
    <w:rsid w:val="00C204E2"/>
    <w:rsid w:val="00C41186"/>
    <w:rsid w:val="00C51074"/>
    <w:rsid w:val="00C5153D"/>
    <w:rsid w:val="00C537CC"/>
    <w:rsid w:val="00C75658"/>
    <w:rsid w:val="00C93675"/>
    <w:rsid w:val="00CB7D14"/>
    <w:rsid w:val="00CC3E07"/>
    <w:rsid w:val="00CD30F2"/>
    <w:rsid w:val="00CE70BD"/>
    <w:rsid w:val="00CF74AE"/>
    <w:rsid w:val="00D107BE"/>
    <w:rsid w:val="00D271D9"/>
    <w:rsid w:val="00D306FA"/>
    <w:rsid w:val="00D50E91"/>
    <w:rsid w:val="00D539A2"/>
    <w:rsid w:val="00D6434F"/>
    <w:rsid w:val="00D65965"/>
    <w:rsid w:val="00D71228"/>
    <w:rsid w:val="00D80D9C"/>
    <w:rsid w:val="00DA6C08"/>
    <w:rsid w:val="00DC3F72"/>
    <w:rsid w:val="00DC6046"/>
    <w:rsid w:val="00E05F4A"/>
    <w:rsid w:val="00E35AD3"/>
    <w:rsid w:val="00E46141"/>
    <w:rsid w:val="00E56386"/>
    <w:rsid w:val="00E578B5"/>
    <w:rsid w:val="00E607F0"/>
    <w:rsid w:val="00E81094"/>
    <w:rsid w:val="00E864C0"/>
    <w:rsid w:val="00EA7E8C"/>
    <w:rsid w:val="00EB245C"/>
    <w:rsid w:val="00EB2C00"/>
    <w:rsid w:val="00EB65AB"/>
    <w:rsid w:val="00EE050F"/>
    <w:rsid w:val="00EF70A2"/>
    <w:rsid w:val="00F00049"/>
    <w:rsid w:val="00F00A62"/>
    <w:rsid w:val="00F237E6"/>
    <w:rsid w:val="00F26903"/>
    <w:rsid w:val="00F26D02"/>
    <w:rsid w:val="00F36BAD"/>
    <w:rsid w:val="00F437B9"/>
    <w:rsid w:val="00F75690"/>
    <w:rsid w:val="00F83DDD"/>
    <w:rsid w:val="00F84313"/>
    <w:rsid w:val="00F903F9"/>
    <w:rsid w:val="00F922AC"/>
    <w:rsid w:val="00FA4CE1"/>
    <w:rsid w:val="00FB23E6"/>
    <w:rsid w:val="00FB25CF"/>
    <w:rsid w:val="00FB3735"/>
    <w:rsid w:val="00FB3959"/>
    <w:rsid w:val="00FB5C05"/>
    <w:rsid w:val="00FD16D1"/>
    <w:rsid w:val="00FE2C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D"/>
    <w:rPr>
      <w:rFonts w:ascii="Calibri" w:hAnsi="Calibri"/>
    </w:rPr>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rFonts w:eastAsiaTheme="minorEastAsia"/>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rFonts w:eastAsiaTheme="minorEastAsia"/>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paragraph" w:styleId="Subtitle">
    <w:name w:val="Subtitle"/>
    <w:basedOn w:val="Normal"/>
    <w:next w:val="Normal"/>
    <w:link w:val="SubtitleChar"/>
    <w:uiPriority w:val="11"/>
    <w:qFormat/>
    <w:rsid w:val="000811D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811D6"/>
    <w:rPr>
      <w:rFonts w:asciiTheme="majorHAnsi" w:eastAsiaTheme="majorEastAsia" w:hAnsiTheme="majorHAnsi" w:cstheme="majorBidi"/>
      <w:i/>
      <w:iCs/>
      <w:color w:val="53548A"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D"/>
    <w:rPr>
      <w:rFonts w:ascii="Calibri" w:hAnsi="Calibri"/>
    </w:rPr>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rFonts w:eastAsiaTheme="minorEastAsia"/>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rFonts w:eastAsiaTheme="minorEastAsia"/>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paragraph" w:styleId="Subtitle">
    <w:name w:val="Subtitle"/>
    <w:basedOn w:val="Normal"/>
    <w:next w:val="Normal"/>
    <w:link w:val="SubtitleChar"/>
    <w:uiPriority w:val="11"/>
    <w:qFormat/>
    <w:rsid w:val="000811D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811D6"/>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125082687">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12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u.data@ac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erel.mail@moh.health.nsw.gov.au" TargetMode="External"/><Relationship Id="rId17" Type="http://schemas.openxmlformats.org/officeDocument/2006/relationships/hyperlink" Target="http://www.abs.gov.au/ausstats/abs@.nsf/mf/1216.0" TargetMode="External"/><Relationship Id="rId2" Type="http://schemas.openxmlformats.org/officeDocument/2006/relationships/customXml" Target="../customXml/item2.xml"/><Relationship Id="rId16" Type="http://schemas.openxmlformats.org/officeDocument/2006/relationships/hyperlink" Target="http://www.abs.gov.au/ausstats/abs@.nsf/mf/126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rel.org.au/apply-for-linked-dat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nehta.org.au/ah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erformance@calvary-act.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3647E-CE7B-4048-9D01-8FF151AB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6678</Characters>
  <Application>Microsoft Office Word</Application>
  <DocSecurity>0</DocSecurity>
  <Lines>236</Lines>
  <Paragraphs>178</Paragraphs>
  <ScaleCrop>false</ScaleCrop>
  <HeadingPairs>
    <vt:vector size="2" baseType="variant">
      <vt:variant>
        <vt:lpstr>Title</vt:lpstr>
      </vt:variant>
      <vt:variant>
        <vt:i4>1</vt:i4>
      </vt:variant>
    </vt:vector>
  </HeadingPairs>
  <TitlesOfParts>
    <vt:vector size="1" baseType="lpstr">
      <vt:lpstr>ACT EDDC data dictionary</vt:lpstr>
    </vt:vector>
  </TitlesOfParts>
  <Company>Cancer Institute NSW</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EDDC data dictionary</dc:title>
  <dc:creator>Kate Lowrie</dc:creator>
  <dc:description>ACT Emergency department data collection data dictionary</dc:description>
  <cp:lastModifiedBy>WOOD, Alice</cp:lastModifiedBy>
  <cp:revision>2</cp:revision>
  <cp:lastPrinted>2011-06-09T03:19:00Z</cp:lastPrinted>
  <dcterms:created xsi:type="dcterms:W3CDTF">2018-03-19T02:05:00Z</dcterms:created>
  <dcterms:modified xsi:type="dcterms:W3CDTF">2018-03-19T02:05:00Z</dcterms:modified>
</cp:coreProperties>
</file>