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EA" w:rsidRPr="00B24C27" w:rsidRDefault="00302BE0" w:rsidP="00A56710">
      <w:pPr>
        <w:pStyle w:val="Title"/>
        <w:spacing w:after="0"/>
        <w:rPr>
          <w:rFonts w:ascii="Corbel" w:hAnsi="Corbel"/>
          <w:b/>
          <w:color w:val="3E3E67" w:themeColor="accent1" w:themeShade="BF"/>
        </w:rPr>
      </w:pPr>
      <w:bookmarkStart w:id="0" w:name="_GoBack"/>
      <w:r>
        <w:rPr>
          <w:rFonts w:ascii="Corbel" w:hAnsi="Corbel"/>
          <w:b/>
          <w:color w:val="3E3E67" w:themeColor="accent1" w:themeShade="BF"/>
        </w:rPr>
        <w:t xml:space="preserve">Pharmaceutical Drugs of Addiction System </w:t>
      </w:r>
    </w:p>
    <w:bookmarkEnd w:id="0"/>
    <w:p w:rsidR="00A56710" w:rsidRPr="00D249E3" w:rsidRDefault="00302BE0" w:rsidP="00D249E3">
      <w:pPr>
        <w:pStyle w:val="Subtitle"/>
        <w:ind w:left="5040" w:firstLine="720"/>
        <w:jc w:val="right"/>
        <w:rPr>
          <w:rFonts w:ascii="Corbel" w:hAnsi="Corbel"/>
          <w:b/>
          <w:sz w:val="28"/>
          <w:szCs w:val="28"/>
        </w:rPr>
      </w:pPr>
      <w:r w:rsidRPr="00D249E3">
        <w:rPr>
          <w:rFonts w:ascii="Corbel" w:hAnsi="Corbel"/>
          <w:sz w:val="28"/>
          <w:szCs w:val="28"/>
        </w:rPr>
        <w:t>NSW Ministry of Health</w:t>
      </w:r>
    </w:p>
    <w:p w:rsidR="00F10270" w:rsidRPr="000A7E86" w:rsidRDefault="00F10270" w:rsidP="00D249E3">
      <w:pPr>
        <w:pStyle w:val="Heading1"/>
      </w:pPr>
      <w:r w:rsidRPr="000A7E86">
        <w:t>Background</w:t>
      </w:r>
    </w:p>
    <w:p w:rsidR="008E58D4" w:rsidRPr="008E58D4" w:rsidRDefault="008E58D4" w:rsidP="008E58D4">
      <w:pPr>
        <w:spacing w:after="0" w:line="240" w:lineRule="auto"/>
        <w:rPr>
          <w:rFonts w:ascii="Calibri" w:hAnsi="Calibri" w:cs="Calibri"/>
          <w:sz w:val="24"/>
          <w:szCs w:val="24"/>
        </w:rPr>
      </w:pPr>
      <w:r w:rsidRPr="008E58D4">
        <w:rPr>
          <w:rFonts w:ascii="Calibri" w:hAnsi="Calibri" w:cs="Calibri"/>
          <w:sz w:val="24"/>
          <w:szCs w:val="24"/>
        </w:rPr>
        <w:t xml:space="preserve">The Pharmaceutical Drugs of Addiction System (PHDAS) is an administrative database used by the Pharmaceutical Services Unit of NSW Ministry of Health to facilitate the </w:t>
      </w:r>
      <w:proofErr w:type="spellStart"/>
      <w:r w:rsidRPr="008E58D4">
        <w:rPr>
          <w:rFonts w:ascii="Calibri" w:hAnsi="Calibri" w:cs="Calibri"/>
          <w:sz w:val="24"/>
          <w:szCs w:val="24"/>
        </w:rPr>
        <w:t>authorisation</w:t>
      </w:r>
      <w:proofErr w:type="spellEnd"/>
      <w:r w:rsidRPr="008E58D4">
        <w:rPr>
          <w:rFonts w:ascii="Calibri" w:hAnsi="Calibri" w:cs="Calibri"/>
          <w:sz w:val="24"/>
          <w:szCs w:val="24"/>
        </w:rPr>
        <w:t xml:space="preserve"> of medical practitioners to prescribe drugs of addiction. PHDAS consists of three subsystems: the Methadone Subsystem, the Non-Methadone Subsystem and the Stimulant Notification Subsystem.</w:t>
      </w:r>
    </w:p>
    <w:p w:rsidR="007D6CCB" w:rsidRDefault="007D6CCB" w:rsidP="008E58D4">
      <w:pPr>
        <w:spacing w:after="0" w:line="240" w:lineRule="auto"/>
        <w:rPr>
          <w:rFonts w:ascii="Calibri" w:hAnsi="Calibri" w:cs="Calibri"/>
          <w:sz w:val="24"/>
          <w:szCs w:val="24"/>
        </w:rPr>
      </w:pPr>
    </w:p>
    <w:p w:rsidR="008E58D4" w:rsidRPr="008E58D4" w:rsidRDefault="008E58D4" w:rsidP="008E58D4">
      <w:pPr>
        <w:spacing w:after="0" w:line="240" w:lineRule="auto"/>
        <w:rPr>
          <w:rFonts w:ascii="Calibri" w:hAnsi="Calibri" w:cs="Calibri"/>
          <w:sz w:val="24"/>
          <w:szCs w:val="24"/>
        </w:rPr>
      </w:pPr>
      <w:r w:rsidRPr="008E58D4">
        <w:rPr>
          <w:rFonts w:ascii="Calibri" w:hAnsi="Calibri" w:cs="Calibri"/>
          <w:sz w:val="24"/>
          <w:szCs w:val="24"/>
        </w:rPr>
        <w:t>The Methadone Subsystem records details of patients participating in the NSW Opioid Treatment Program (OTP), authorities issued to approved prescribers for Schedule 8 drugs used in the OTP (methadone, buprenorphine), and facilities (administration points) approved to dispense under the OTP. The subsystem was impl</w:t>
      </w:r>
      <w:r w:rsidR="00A77259">
        <w:rPr>
          <w:rFonts w:ascii="Calibri" w:hAnsi="Calibri" w:cs="Calibri"/>
          <w:sz w:val="24"/>
          <w:szCs w:val="24"/>
        </w:rPr>
        <w:t xml:space="preserve">emented in 1985. </w:t>
      </w:r>
      <w:r w:rsidRPr="008E58D4">
        <w:rPr>
          <w:rFonts w:ascii="Calibri" w:hAnsi="Calibri" w:cs="Calibri"/>
          <w:sz w:val="24"/>
          <w:szCs w:val="24"/>
        </w:rPr>
        <w:t>Most data items are complete from 1999. The total number of persons on the OTP as at 1 September 2011 was 18,770.</w:t>
      </w:r>
    </w:p>
    <w:p w:rsidR="007D6CCB" w:rsidRDefault="007D6CCB" w:rsidP="008E58D4">
      <w:pPr>
        <w:spacing w:after="0" w:line="240" w:lineRule="auto"/>
        <w:rPr>
          <w:rFonts w:ascii="Calibri" w:hAnsi="Calibri" w:cs="Calibri"/>
          <w:sz w:val="24"/>
          <w:szCs w:val="24"/>
        </w:rPr>
      </w:pPr>
    </w:p>
    <w:p w:rsidR="008E58D4" w:rsidRPr="008E58D4" w:rsidRDefault="008E58D4" w:rsidP="008E58D4">
      <w:pPr>
        <w:spacing w:after="0" w:line="240" w:lineRule="auto"/>
        <w:rPr>
          <w:rFonts w:ascii="Calibri" w:hAnsi="Calibri" w:cs="Calibri"/>
          <w:sz w:val="24"/>
          <w:szCs w:val="24"/>
        </w:rPr>
      </w:pPr>
      <w:r w:rsidRPr="008E58D4">
        <w:rPr>
          <w:rFonts w:ascii="Calibri" w:hAnsi="Calibri" w:cs="Calibri"/>
          <w:sz w:val="24"/>
          <w:szCs w:val="24"/>
        </w:rPr>
        <w:t>The Non-Methadone Subsystem is used by Pharmaceutical Services Unit to issue authorities to prescribe Schedule 8 drugs of addiction, predominantly for the treatment of chronic pain and attention deficit hyperactivity disorder (ADHD). This subsystem was implemented in 1985. The total number of valid authorities at 1 January 2012 was 4,260.</w:t>
      </w:r>
    </w:p>
    <w:p w:rsidR="007D6CCB" w:rsidRDefault="007D6CCB" w:rsidP="008E58D4">
      <w:pPr>
        <w:spacing w:after="0" w:line="240" w:lineRule="auto"/>
        <w:rPr>
          <w:rFonts w:ascii="Calibri" w:hAnsi="Calibri" w:cs="Calibri"/>
          <w:sz w:val="24"/>
          <w:szCs w:val="24"/>
        </w:rPr>
      </w:pPr>
    </w:p>
    <w:p w:rsidR="00302BE0" w:rsidRDefault="008E58D4" w:rsidP="008E58D4">
      <w:pPr>
        <w:spacing w:after="0" w:line="240" w:lineRule="auto"/>
        <w:rPr>
          <w:rFonts w:ascii="Calibri" w:hAnsi="Calibri" w:cs="Calibri"/>
          <w:sz w:val="24"/>
          <w:szCs w:val="24"/>
        </w:rPr>
      </w:pPr>
      <w:r w:rsidRPr="008E58D4">
        <w:rPr>
          <w:rFonts w:ascii="Calibri" w:hAnsi="Calibri" w:cs="Calibri"/>
          <w:sz w:val="24"/>
          <w:szCs w:val="24"/>
        </w:rPr>
        <w:t xml:space="preserve">The Stimulant Notification Subsystem is used by Pharmaceutical Services Unit to record details of prescriptions written for </w:t>
      </w:r>
      <w:proofErr w:type="spellStart"/>
      <w:r w:rsidRPr="008E58D4">
        <w:rPr>
          <w:rFonts w:ascii="Calibri" w:hAnsi="Calibri" w:cs="Calibri"/>
          <w:sz w:val="24"/>
          <w:szCs w:val="24"/>
        </w:rPr>
        <w:t>psychostimulants</w:t>
      </w:r>
      <w:proofErr w:type="spellEnd"/>
      <w:r w:rsidRPr="008E58D4">
        <w:rPr>
          <w:rFonts w:ascii="Calibri" w:hAnsi="Calibri" w:cs="Calibri"/>
          <w:sz w:val="24"/>
          <w:szCs w:val="24"/>
        </w:rPr>
        <w:t xml:space="preserve"> for the treatment of attention deficit hyperactivity disorder (ADHD) that are notified to the NSW Ministry of Health by generally </w:t>
      </w:r>
      <w:proofErr w:type="spellStart"/>
      <w:r w:rsidRPr="008E58D4">
        <w:rPr>
          <w:rFonts w:ascii="Calibri" w:hAnsi="Calibri" w:cs="Calibri"/>
          <w:sz w:val="24"/>
          <w:szCs w:val="24"/>
        </w:rPr>
        <w:t>authorised</w:t>
      </w:r>
      <w:proofErr w:type="spellEnd"/>
      <w:r w:rsidRPr="008E58D4">
        <w:rPr>
          <w:rFonts w:ascii="Calibri" w:hAnsi="Calibri" w:cs="Calibri"/>
          <w:sz w:val="24"/>
          <w:szCs w:val="24"/>
        </w:rPr>
        <w:t xml:space="preserve"> </w:t>
      </w:r>
      <w:proofErr w:type="spellStart"/>
      <w:r w:rsidRPr="008E58D4">
        <w:rPr>
          <w:rFonts w:ascii="Calibri" w:hAnsi="Calibri" w:cs="Calibri"/>
          <w:sz w:val="24"/>
          <w:szCs w:val="24"/>
        </w:rPr>
        <w:t>psychostimulant</w:t>
      </w:r>
      <w:proofErr w:type="spellEnd"/>
      <w:r w:rsidRPr="008E58D4">
        <w:rPr>
          <w:rFonts w:ascii="Calibri" w:hAnsi="Calibri" w:cs="Calibri"/>
          <w:sz w:val="24"/>
          <w:szCs w:val="24"/>
        </w:rPr>
        <w:t xml:space="preserve"> prescribers. This subsystem was implemented in 1999. The total number of notified prescriptions recorded in 2010 was 45,265.</w:t>
      </w:r>
    </w:p>
    <w:p w:rsidR="00411922" w:rsidRPr="000A7E86" w:rsidRDefault="00907D05" w:rsidP="00D249E3">
      <w:pPr>
        <w:pStyle w:val="Heading1"/>
      </w:pPr>
      <w:r w:rsidRPr="00907D05">
        <w:t xml:space="preserve">Information recorded on the </w:t>
      </w:r>
      <w:r w:rsidR="002E2E11" w:rsidRPr="002E2E11">
        <w:t>PHDAS</w:t>
      </w:r>
      <w:r w:rsidR="002E2E11">
        <w:t xml:space="preserve"> database (Methadone subsystem)</w:t>
      </w:r>
      <w:r w:rsidRPr="00907D05">
        <w:t xml:space="preserve"> includes:</w:t>
      </w:r>
    </w:p>
    <w:p w:rsidR="002E2E11" w:rsidRPr="002E2E11" w:rsidRDefault="002E2E11" w:rsidP="002E2E11">
      <w:pPr>
        <w:pStyle w:val="ListParagraph"/>
        <w:numPr>
          <w:ilvl w:val="0"/>
          <w:numId w:val="25"/>
        </w:numPr>
        <w:spacing w:after="0" w:line="240" w:lineRule="auto"/>
        <w:rPr>
          <w:rFonts w:ascii="Calibri" w:hAnsi="Calibri" w:cs="Arial"/>
          <w:sz w:val="24"/>
          <w:szCs w:val="24"/>
        </w:rPr>
      </w:pPr>
      <w:r w:rsidRPr="002E2E11">
        <w:rPr>
          <w:rFonts w:ascii="Calibri" w:hAnsi="Calibri" w:cs="Arial"/>
          <w:sz w:val="24"/>
          <w:szCs w:val="24"/>
        </w:rPr>
        <w:t xml:space="preserve">Program (treatment) information: start date, start dose, maximum </w:t>
      </w:r>
      <w:proofErr w:type="spellStart"/>
      <w:r w:rsidRPr="002E2E11">
        <w:rPr>
          <w:rFonts w:ascii="Calibri" w:hAnsi="Calibri" w:cs="Arial"/>
          <w:sz w:val="24"/>
          <w:szCs w:val="24"/>
        </w:rPr>
        <w:t>authorised</w:t>
      </w:r>
      <w:proofErr w:type="spellEnd"/>
      <w:r w:rsidRPr="002E2E11">
        <w:rPr>
          <w:rFonts w:ascii="Calibri" w:hAnsi="Calibri" w:cs="Arial"/>
          <w:sz w:val="24"/>
          <w:szCs w:val="24"/>
        </w:rPr>
        <w:t xml:space="preserve"> dose, program type, drug, end date, last dose, date of last dose, reason for ending program.</w:t>
      </w:r>
    </w:p>
    <w:p w:rsidR="00B205EA" w:rsidRDefault="002E2E11" w:rsidP="002E2E11">
      <w:pPr>
        <w:pStyle w:val="ListParagraph"/>
        <w:numPr>
          <w:ilvl w:val="0"/>
          <w:numId w:val="25"/>
        </w:numPr>
        <w:spacing w:after="0" w:line="240" w:lineRule="auto"/>
        <w:rPr>
          <w:rFonts w:ascii="Calibri" w:hAnsi="Calibri" w:cs="Arial"/>
          <w:sz w:val="24"/>
          <w:szCs w:val="24"/>
        </w:rPr>
      </w:pPr>
      <w:r w:rsidRPr="002E2E11">
        <w:rPr>
          <w:rFonts w:ascii="Calibri" w:hAnsi="Calibri" w:cs="Arial"/>
          <w:sz w:val="24"/>
          <w:szCs w:val="24"/>
        </w:rPr>
        <w:t>Patient/program-specific details: Sex, country of birth, indigenous status, principal source of income, primary opioid drug of dependence, other drugs perceived by patient to be health concern, priority treatment status (pregnancy, HIV status of patient or patient’s opioid-using partner).</w:t>
      </w:r>
    </w:p>
    <w:p w:rsidR="002E2E11" w:rsidRPr="000A7E86" w:rsidRDefault="002E2E11" w:rsidP="00D249E3">
      <w:pPr>
        <w:pStyle w:val="Heading1"/>
      </w:pPr>
      <w:r w:rsidRPr="00907D05">
        <w:lastRenderedPageBreak/>
        <w:t xml:space="preserve">Information recorded on the </w:t>
      </w:r>
      <w:r w:rsidRPr="002E2E11">
        <w:t xml:space="preserve">PHDAS database (Non-Methadone subsystem) </w:t>
      </w:r>
      <w:r w:rsidRPr="00907D05">
        <w:t>includes:</w:t>
      </w:r>
    </w:p>
    <w:p w:rsidR="00B205EA" w:rsidRPr="002E2E11" w:rsidRDefault="002E2E11" w:rsidP="002E2E11">
      <w:pPr>
        <w:pStyle w:val="ListParagraph"/>
        <w:numPr>
          <w:ilvl w:val="0"/>
          <w:numId w:val="26"/>
        </w:numPr>
        <w:spacing w:after="0" w:line="240" w:lineRule="auto"/>
        <w:rPr>
          <w:rFonts w:ascii="Calibri" w:hAnsi="Calibri" w:cs="Arial"/>
          <w:sz w:val="24"/>
          <w:szCs w:val="24"/>
        </w:rPr>
      </w:pPr>
      <w:r w:rsidRPr="002E2E11">
        <w:rPr>
          <w:rFonts w:ascii="Calibri" w:hAnsi="Calibri" w:cs="Arial"/>
          <w:sz w:val="24"/>
          <w:szCs w:val="24"/>
        </w:rPr>
        <w:t>Treatment/</w:t>
      </w:r>
      <w:proofErr w:type="spellStart"/>
      <w:r w:rsidRPr="002E2E11">
        <w:rPr>
          <w:rFonts w:ascii="Calibri" w:hAnsi="Calibri" w:cs="Arial"/>
          <w:sz w:val="24"/>
          <w:szCs w:val="24"/>
        </w:rPr>
        <w:t>authorisation</w:t>
      </w:r>
      <w:proofErr w:type="spellEnd"/>
      <w:r w:rsidRPr="002E2E11">
        <w:rPr>
          <w:rFonts w:ascii="Calibri" w:hAnsi="Calibri" w:cs="Arial"/>
          <w:sz w:val="24"/>
          <w:szCs w:val="24"/>
        </w:rPr>
        <w:t xml:space="preserve"> details: start date, end date, drug, dose, </w:t>
      </w:r>
      <w:proofErr w:type="gramStart"/>
      <w:r w:rsidRPr="002E2E11">
        <w:rPr>
          <w:rFonts w:ascii="Calibri" w:hAnsi="Calibri" w:cs="Arial"/>
          <w:sz w:val="24"/>
          <w:szCs w:val="24"/>
        </w:rPr>
        <w:t>diagnosis</w:t>
      </w:r>
      <w:proofErr w:type="gramEnd"/>
      <w:r w:rsidRPr="002E2E11">
        <w:rPr>
          <w:rFonts w:ascii="Calibri" w:hAnsi="Calibri" w:cs="Arial"/>
          <w:sz w:val="24"/>
          <w:szCs w:val="24"/>
        </w:rPr>
        <w:t>.</w:t>
      </w:r>
    </w:p>
    <w:p w:rsidR="002E2E11" w:rsidRDefault="002E2E11" w:rsidP="00B205EA">
      <w:pPr>
        <w:spacing w:after="0" w:line="240" w:lineRule="auto"/>
        <w:rPr>
          <w:rFonts w:ascii="Calibri" w:hAnsi="Calibri" w:cs="Arial"/>
          <w:sz w:val="24"/>
          <w:szCs w:val="24"/>
        </w:rPr>
      </w:pPr>
    </w:p>
    <w:p w:rsidR="002E2E11" w:rsidRPr="000A7E86" w:rsidRDefault="002E2E11" w:rsidP="00D249E3">
      <w:pPr>
        <w:pStyle w:val="Heading1"/>
      </w:pPr>
      <w:r w:rsidRPr="00907D05">
        <w:t xml:space="preserve">Information recorded on the </w:t>
      </w:r>
      <w:r w:rsidRPr="002E2E11">
        <w:t>PHDAS database (Stimulant Notification Subsystem)</w:t>
      </w:r>
      <w:r w:rsidRPr="00907D05">
        <w:t xml:space="preserve"> includes:</w:t>
      </w:r>
    </w:p>
    <w:p w:rsidR="00B205EA" w:rsidRDefault="002E2E11" w:rsidP="002E2E11">
      <w:pPr>
        <w:pStyle w:val="ListParagraph"/>
        <w:numPr>
          <w:ilvl w:val="0"/>
          <w:numId w:val="26"/>
        </w:numPr>
        <w:spacing w:after="0" w:line="240" w:lineRule="auto"/>
        <w:rPr>
          <w:rFonts w:ascii="Calibri" w:hAnsi="Calibri" w:cs="Arial"/>
          <w:sz w:val="24"/>
          <w:szCs w:val="24"/>
        </w:rPr>
      </w:pPr>
      <w:r w:rsidRPr="002E2E11">
        <w:rPr>
          <w:rFonts w:ascii="Calibri" w:hAnsi="Calibri" w:cs="Arial"/>
          <w:sz w:val="24"/>
          <w:szCs w:val="24"/>
        </w:rPr>
        <w:t>Prescription details: date, drug, dose.</w:t>
      </w:r>
    </w:p>
    <w:p w:rsidR="00907D05" w:rsidRPr="000A7E86" w:rsidRDefault="00907D05" w:rsidP="00D249E3">
      <w:pPr>
        <w:pStyle w:val="Heading1"/>
      </w:pPr>
      <w:r w:rsidRPr="00907D05">
        <w:t>Previous linkage projects conducted through CHeReL include:</w:t>
      </w:r>
    </w:p>
    <w:p w:rsidR="00A86F1C" w:rsidRDefault="00A86F1C" w:rsidP="00A86F1C">
      <w:pPr>
        <w:spacing w:after="0" w:line="240" w:lineRule="auto"/>
        <w:rPr>
          <w:rFonts w:ascii="Calibri" w:hAnsi="Calibri" w:cs="Arial"/>
          <w:sz w:val="24"/>
          <w:szCs w:val="24"/>
        </w:rPr>
      </w:pPr>
      <w:r w:rsidRPr="00A86F1C">
        <w:rPr>
          <w:rFonts w:ascii="Calibri" w:hAnsi="Calibri" w:cs="Arial"/>
          <w:sz w:val="24"/>
          <w:szCs w:val="24"/>
        </w:rPr>
        <w:t xml:space="preserve">Project: People with Mental Health Disorders and Cognitive Disabilities in the Criminal Justice System. This study aimed to provide a detailed description and analysis of the pathways by which people with mental health disorders and cognitive disabilities (MHDCD) enter, move through, exit and return to the criminal justice system. Principal researcher: </w:t>
      </w:r>
      <w:proofErr w:type="spellStart"/>
      <w:r w:rsidRPr="00A86F1C">
        <w:rPr>
          <w:rFonts w:ascii="Calibri" w:hAnsi="Calibri" w:cs="Arial"/>
          <w:sz w:val="24"/>
          <w:szCs w:val="24"/>
        </w:rPr>
        <w:t>Dr</w:t>
      </w:r>
      <w:proofErr w:type="spellEnd"/>
      <w:r w:rsidRPr="00A86F1C">
        <w:rPr>
          <w:rFonts w:ascii="Calibri" w:hAnsi="Calibri" w:cs="Arial"/>
          <w:sz w:val="24"/>
          <w:szCs w:val="24"/>
        </w:rPr>
        <w:t xml:space="preserve"> Leanne Dowse, School of Social Sciences and International Studies UNSW Sydney NSW 2052.</w:t>
      </w:r>
    </w:p>
    <w:p w:rsidR="00043D80" w:rsidRPr="00A86F1C" w:rsidRDefault="00043D80" w:rsidP="00A86F1C">
      <w:pPr>
        <w:spacing w:after="0" w:line="240" w:lineRule="auto"/>
        <w:rPr>
          <w:rFonts w:ascii="Calibri" w:hAnsi="Calibri" w:cs="Arial"/>
          <w:sz w:val="24"/>
          <w:szCs w:val="24"/>
        </w:rPr>
      </w:pPr>
    </w:p>
    <w:p w:rsidR="00A86F1C" w:rsidRDefault="00A86F1C" w:rsidP="00A86F1C">
      <w:pPr>
        <w:spacing w:after="0" w:line="240" w:lineRule="auto"/>
        <w:rPr>
          <w:rFonts w:ascii="Calibri" w:hAnsi="Calibri" w:cs="Arial"/>
          <w:sz w:val="24"/>
          <w:szCs w:val="24"/>
        </w:rPr>
      </w:pPr>
      <w:r w:rsidRPr="00A86F1C">
        <w:rPr>
          <w:rFonts w:ascii="Calibri" w:hAnsi="Calibri" w:cs="Arial"/>
          <w:sz w:val="24"/>
          <w:szCs w:val="24"/>
        </w:rPr>
        <w:t xml:space="preserve">Project: Long-term impacts of methadone maintenance treatment on offending, hepatitis C and mortality among ex-prisoners. This project used data linkage to examine criminality, hepatitis C infections and mortality among a cohort of ex−prisoners with a history of methadone maintenance treatment (MMT). Principal researcher: </w:t>
      </w:r>
      <w:proofErr w:type="spellStart"/>
      <w:r w:rsidRPr="00A86F1C">
        <w:rPr>
          <w:rFonts w:ascii="Calibri" w:hAnsi="Calibri" w:cs="Arial"/>
          <w:sz w:val="24"/>
          <w:szCs w:val="24"/>
        </w:rPr>
        <w:t>Dr</w:t>
      </w:r>
      <w:proofErr w:type="spellEnd"/>
      <w:r w:rsidRPr="00A86F1C">
        <w:rPr>
          <w:rFonts w:ascii="Calibri" w:hAnsi="Calibri" w:cs="Arial"/>
          <w:sz w:val="24"/>
          <w:szCs w:val="24"/>
        </w:rPr>
        <w:t xml:space="preserve"> Kate Dolan, NDARC, University of NSW, Sydney NSW 2052.</w:t>
      </w:r>
    </w:p>
    <w:p w:rsidR="00043D80" w:rsidRPr="00A86F1C" w:rsidRDefault="00043D80" w:rsidP="00A86F1C">
      <w:pPr>
        <w:spacing w:after="0" w:line="240" w:lineRule="auto"/>
        <w:rPr>
          <w:rFonts w:ascii="Calibri" w:hAnsi="Calibri" w:cs="Arial"/>
          <w:sz w:val="24"/>
          <w:szCs w:val="24"/>
        </w:rPr>
      </w:pPr>
    </w:p>
    <w:p w:rsidR="00A86F1C" w:rsidRDefault="00A86F1C" w:rsidP="00A86F1C">
      <w:pPr>
        <w:spacing w:after="0" w:line="240" w:lineRule="auto"/>
        <w:rPr>
          <w:rFonts w:ascii="Calibri" w:hAnsi="Calibri" w:cs="Arial"/>
          <w:sz w:val="24"/>
          <w:szCs w:val="24"/>
        </w:rPr>
      </w:pPr>
      <w:r w:rsidRPr="00A86F1C">
        <w:rPr>
          <w:rFonts w:ascii="Calibri" w:hAnsi="Calibri" w:cs="Arial"/>
          <w:sz w:val="24"/>
          <w:szCs w:val="24"/>
        </w:rPr>
        <w:t xml:space="preserve">Project: Comparing the safety and effectiveness of Buprenorphine and Methadone for Heroin Addiction. The aim of this study was to compare health outcomes associated with buprenorphine and methadone treatment for heroin addiction using a previously identified cohort of 6,159 people entering their first episode of treatment. The research investigated 2 important health outcomes − </w:t>
      </w:r>
      <w:proofErr w:type="spellStart"/>
      <w:r w:rsidRPr="00A86F1C">
        <w:rPr>
          <w:rFonts w:ascii="Calibri" w:hAnsi="Calibri" w:cs="Arial"/>
          <w:sz w:val="24"/>
          <w:szCs w:val="24"/>
        </w:rPr>
        <w:t>hospitalisation</w:t>
      </w:r>
      <w:proofErr w:type="spellEnd"/>
      <w:r w:rsidRPr="00A86F1C">
        <w:rPr>
          <w:rFonts w:ascii="Calibri" w:hAnsi="Calibri" w:cs="Arial"/>
          <w:sz w:val="24"/>
          <w:szCs w:val="24"/>
        </w:rPr>
        <w:t>, and pregnancy / perinatal outcomes. Principal researcher: A/Prof James Bell, The Langton Centre, Surry Hills NSW 2010.</w:t>
      </w:r>
    </w:p>
    <w:p w:rsidR="00043D80" w:rsidRPr="00A86F1C" w:rsidRDefault="00043D80" w:rsidP="00A86F1C">
      <w:pPr>
        <w:spacing w:after="0" w:line="240" w:lineRule="auto"/>
        <w:rPr>
          <w:rFonts w:ascii="Calibri" w:hAnsi="Calibri" w:cs="Arial"/>
          <w:sz w:val="24"/>
          <w:szCs w:val="24"/>
        </w:rPr>
      </w:pPr>
    </w:p>
    <w:p w:rsidR="00A86F1C" w:rsidRDefault="00A86F1C" w:rsidP="00A86F1C">
      <w:pPr>
        <w:spacing w:after="0" w:line="240" w:lineRule="auto"/>
        <w:rPr>
          <w:rFonts w:ascii="Calibri" w:hAnsi="Calibri" w:cs="Arial"/>
          <w:sz w:val="24"/>
          <w:szCs w:val="24"/>
        </w:rPr>
      </w:pPr>
      <w:r w:rsidRPr="00A86F1C">
        <w:rPr>
          <w:rFonts w:ascii="Calibri" w:hAnsi="Calibri" w:cs="Arial"/>
          <w:sz w:val="24"/>
          <w:szCs w:val="24"/>
        </w:rPr>
        <w:t xml:space="preserve">Project: Mental illness and substance use: Impact on birth and neonatal outcomes. This project set out to assess the burden of perinatal morbidity and mortality contributed by mental ill-health and substance use individually and together for the whole of NSW and by health areas/regions. Principal researcher: A/Prof Elizabeth Sullivan, AIHW National Perinatal Statistics Unit, Sydney Children’s Hospital, </w:t>
      </w:r>
      <w:proofErr w:type="spellStart"/>
      <w:r w:rsidRPr="00A86F1C">
        <w:rPr>
          <w:rFonts w:ascii="Calibri" w:hAnsi="Calibri" w:cs="Arial"/>
          <w:sz w:val="24"/>
          <w:szCs w:val="24"/>
        </w:rPr>
        <w:t>Randwick</w:t>
      </w:r>
      <w:proofErr w:type="spellEnd"/>
      <w:r w:rsidRPr="00A86F1C">
        <w:rPr>
          <w:rFonts w:ascii="Calibri" w:hAnsi="Calibri" w:cs="Arial"/>
          <w:sz w:val="24"/>
          <w:szCs w:val="24"/>
        </w:rPr>
        <w:t xml:space="preserve"> NSW 2031.</w:t>
      </w:r>
    </w:p>
    <w:p w:rsidR="00043D80" w:rsidRPr="00A86F1C" w:rsidRDefault="00043D80" w:rsidP="00A86F1C">
      <w:pPr>
        <w:spacing w:after="0" w:line="240" w:lineRule="auto"/>
        <w:rPr>
          <w:rFonts w:ascii="Calibri" w:hAnsi="Calibri" w:cs="Arial"/>
          <w:sz w:val="24"/>
          <w:szCs w:val="24"/>
        </w:rPr>
      </w:pPr>
    </w:p>
    <w:p w:rsidR="00A86F1C" w:rsidRDefault="00A86F1C" w:rsidP="00A86F1C">
      <w:pPr>
        <w:spacing w:after="0" w:line="240" w:lineRule="auto"/>
        <w:rPr>
          <w:rFonts w:ascii="Calibri" w:hAnsi="Calibri" w:cs="Arial"/>
          <w:sz w:val="24"/>
          <w:szCs w:val="24"/>
        </w:rPr>
      </w:pPr>
      <w:r w:rsidRPr="00A86F1C">
        <w:rPr>
          <w:rFonts w:ascii="Calibri" w:hAnsi="Calibri" w:cs="Arial"/>
          <w:sz w:val="24"/>
          <w:szCs w:val="24"/>
        </w:rPr>
        <w:t xml:space="preserve">Project: Mothers and Gestation in Custody: Data Linkage Study of birth and neonatal outcomes of women in prison during pregnancy. The aim of the record linkage study was to determine the impact of incarceration during pregnancy on birth and neonatal outcomes. Principal researcher: A/Prof Elizabeth Sullivan, AIHW National Perinatal Statistics Unit, Sydney Children’s Hospital, </w:t>
      </w:r>
      <w:proofErr w:type="spellStart"/>
      <w:r w:rsidRPr="00A86F1C">
        <w:rPr>
          <w:rFonts w:ascii="Calibri" w:hAnsi="Calibri" w:cs="Arial"/>
          <w:sz w:val="24"/>
          <w:szCs w:val="24"/>
        </w:rPr>
        <w:t>Randwick</w:t>
      </w:r>
      <w:proofErr w:type="spellEnd"/>
      <w:r w:rsidRPr="00A86F1C">
        <w:rPr>
          <w:rFonts w:ascii="Calibri" w:hAnsi="Calibri" w:cs="Arial"/>
          <w:sz w:val="24"/>
          <w:szCs w:val="24"/>
        </w:rPr>
        <w:t xml:space="preserve"> NSW 2031.</w:t>
      </w:r>
    </w:p>
    <w:p w:rsidR="00CD70E5" w:rsidRPr="000A7E86" w:rsidRDefault="00CD70E5" w:rsidP="00D249E3">
      <w:pPr>
        <w:pStyle w:val="Heading1"/>
      </w:pPr>
      <w:r w:rsidRPr="00CD70E5">
        <w:lastRenderedPageBreak/>
        <w:t>Availability of data for studies</w:t>
      </w:r>
      <w:r w:rsidRPr="00907D05">
        <w:t>:</w:t>
      </w:r>
    </w:p>
    <w:p w:rsidR="00A86F1C" w:rsidRPr="00A86F1C" w:rsidRDefault="00043D80" w:rsidP="00A86F1C">
      <w:pPr>
        <w:pStyle w:val="NoSpacing"/>
        <w:rPr>
          <w:rFonts w:ascii="Calibri" w:hAnsi="Calibri" w:cs="Calibri"/>
          <w:sz w:val="24"/>
          <w:szCs w:val="24"/>
        </w:rPr>
      </w:pPr>
      <w:r>
        <w:rPr>
          <w:rFonts w:ascii="Calibri" w:hAnsi="Calibri" w:cs="Calibri"/>
          <w:sz w:val="24"/>
          <w:szCs w:val="24"/>
        </w:rPr>
        <w:t>These</w:t>
      </w:r>
      <w:r w:rsidR="00A86F1C" w:rsidRPr="00A86F1C">
        <w:rPr>
          <w:rFonts w:ascii="Calibri" w:hAnsi="Calibri" w:cs="Calibri"/>
          <w:sz w:val="24"/>
          <w:szCs w:val="24"/>
        </w:rPr>
        <w:t xml:space="preserve"> data </w:t>
      </w:r>
      <w:r>
        <w:rPr>
          <w:rFonts w:ascii="Calibri" w:hAnsi="Calibri" w:cs="Calibri"/>
          <w:sz w:val="24"/>
          <w:szCs w:val="24"/>
        </w:rPr>
        <w:t>are</w:t>
      </w:r>
      <w:r w:rsidR="00A86F1C" w:rsidRPr="00A86F1C">
        <w:rPr>
          <w:rFonts w:ascii="Calibri" w:hAnsi="Calibri" w:cs="Calibri"/>
          <w:sz w:val="24"/>
          <w:szCs w:val="24"/>
        </w:rPr>
        <w:t xml:space="preserve"> available to researchers for further study subject to approval from ethics committees corresponding with the NSW Ministry of Health and other checks. For further information contact the Senior Analyst Information Management at Pharmaceutical Services in the NSW Ministry of Health (details below).</w:t>
      </w:r>
    </w:p>
    <w:p w:rsidR="00A86F1C" w:rsidRPr="00A86F1C" w:rsidRDefault="00A86F1C" w:rsidP="00A86F1C">
      <w:pPr>
        <w:pStyle w:val="NoSpacing"/>
        <w:rPr>
          <w:rFonts w:ascii="Calibri" w:hAnsi="Calibri" w:cs="Calibri"/>
          <w:sz w:val="24"/>
          <w:szCs w:val="24"/>
        </w:rPr>
      </w:pPr>
    </w:p>
    <w:p w:rsidR="00A86F1C" w:rsidRP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 xml:space="preserve">For a list of variables available for data linkage projects please contact the Senior Analyst Information Management at Pharmaceutical Services in the NSW Ministry of Health (details below) or CHeReL staff on </w:t>
      </w:r>
      <w:hyperlink r:id="rId10" w:history="1">
        <w:r w:rsidR="007D6CCB" w:rsidRPr="00E57AE0">
          <w:rPr>
            <w:rStyle w:val="Hyperlink"/>
            <w:rFonts w:ascii="Calibri" w:hAnsi="Calibri" w:cs="Calibri"/>
            <w:sz w:val="24"/>
            <w:szCs w:val="24"/>
          </w:rPr>
          <w:t>cherel@moh.health.nsw.gov.au</w:t>
        </w:r>
      </w:hyperlink>
      <w:r w:rsidR="007D6CCB">
        <w:rPr>
          <w:rFonts w:ascii="Calibri" w:hAnsi="Calibri" w:cs="Calibri"/>
          <w:sz w:val="24"/>
          <w:szCs w:val="24"/>
        </w:rPr>
        <w:t xml:space="preserve">. </w:t>
      </w:r>
      <w:r w:rsidRPr="00A86F1C">
        <w:rPr>
          <w:rFonts w:ascii="Calibri" w:hAnsi="Calibri" w:cs="Calibri"/>
          <w:sz w:val="24"/>
          <w:szCs w:val="24"/>
        </w:rPr>
        <w:t xml:space="preserve">A list of variables available for data linkage projects can also be accessed on the CHeReL website at: </w:t>
      </w:r>
      <w:hyperlink r:id="rId11" w:history="1">
        <w:r w:rsidRPr="00A86F1C">
          <w:rPr>
            <w:rStyle w:val="Hyperlink"/>
            <w:rFonts w:ascii="Calibri" w:hAnsi="Calibri" w:cs="Calibri"/>
            <w:sz w:val="24"/>
            <w:szCs w:val="24"/>
          </w:rPr>
          <w:t>http://www.cherel.org.au/external-datasets</w:t>
        </w:r>
      </w:hyperlink>
    </w:p>
    <w:p w:rsidR="00A86F1C" w:rsidRPr="000A7E86" w:rsidRDefault="00A86F1C" w:rsidP="00D249E3">
      <w:pPr>
        <w:pStyle w:val="Heading1"/>
      </w:pPr>
      <w:r w:rsidRPr="000A7E86">
        <w:t>Data custodian</w:t>
      </w:r>
    </w:p>
    <w:p w:rsidR="00A86F1C" w:rsidRDefault="00A86F1C" w:rsidP="00117D75">
      <w:pPr>
        <w:spacing w:after="0" w:line="240" w:lineRule="auto"/>
        <w:rPr>
          <w:rFonts w:ascii="Calibri" w:hAnsi="Calibri" w:cs="Arial"/>
          <w:sz w:val="24"/>
          <w:szCs w:val="24"/>
        </w:rPr>
      </w:pPr>
      <w:r w:rsidRPr="00A86F1C">
        <w:rPr>
          <w:rFonts w:ascii="Calibri" w:hAnsi="Calibri" w:cs="Arial"/>
          <w:sz w:val="24"/>
          <w:szCs w:val="24"/>
        </w:rPr>
        <w:t>Chief Pharmacist, NSW Ministry of Health</w:t>
      </w:r>
    </w:p>
    <w:p w:rsidR="00F83DDD" w:rsidRPr="000A7E86" w:rsidRDefault="00A86F1C" w:rsidP="00D249E3">
      <w:pPr>
        <w:pStyle w:val="Heading1"/>
      </w:pPr>
      <w:r>
        <w:t>Contact for d</w:t>
      </w:r>
      <w:r w:rsidR="00F83DDD" w:rsidRPr="000A7E86">
        <w:t xml:space="preserve">ata </w:t>
      </w:r>
      <w:r>
        <w:t>enquiries</w:t>
      </w:r>
    </w:p>
    <w:p w:rsidR="00A86F1C" w:rsidRP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Senior Analyst Information Management</w:t>
      </w:r>
    </w:p>
    <w:p w:rsidR="00A86F1C" w:rsidRP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Pharmaceutical Services, Legal and Regulatory Services Branch</w:t>
      </w:r>
    </w:p>
    <w:p w:rsidR="00A86F1C" w:rsidRP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NSW Ministry of Health</w:t>
      </w:r>
    </w:p>
    <w:p w:rsidR="00A86F1C" w:rsidRDefault="007D6CCB" w:rsidP="00A86F1C">
      <w:pPr>
        <w:spacing w:after="0" w:line="240" w:lineRule="auto"/>
        <w:rPr>
          <w:rFonts w:ascii="Calibri" w:hAnsi="Calibri" w:cs="Calibri"/>
          <w:sz w:val="24"/>
          <w:szCs w:val="24"/>
        </w:rPr>
      </w:pPr>
      <w:r>
        <w:rPr>
          <w:rFonts w:ascii="Calibri" w:hAnsi="Calibri" w:cs="Calibri"/>
          <w:sz w:val="24"/>
          <w:szCs w:val="24"/>
        </w:rPr>
        <w:t>Locked Mail Bag 961</w:t>
      </w:r>
    </w:p>
    <w:p w:rsidR="007D6CCB" w:rsidRPr="00A86F1C" w:rsidRDefault="007D6CCB" w:rsidP="00A86F1C">
      <w:pPr>
        <w:spacing w:after="0" w:line="240" w:lineRule="auto"/>
        <w:rPr>
          <w:rFonts w:ascii="Calibri" w:hAnsi="Calibri" w:cs="Calibri"/>
          <w:sz w:val="24"/>
          <w:szCs w:val="24"/>
        </w:rPr>
      </w:pPr>
      <w:r>
        <w:rPr>
          <w:rFonts w:ascii="Calibri" w:hAnsi="Calibri" w:cs="Calibri"/>
          <w:sz w:val="24"/>
          <w:szCs w:val="24"/>
        </w:rPr>
        <w:t>North Sydney NSW 2059</w:t>
      </w:r>
    </w:p>
    <w:p w:rsidR="00A86F1C" w:rsidRP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 xml:space="preserve">Phone 02 </w:t>
      </w:r>
      <w:r w:rsidR="007D6CCB">
        <w:rPr>
          <w:rFonts w:ascii="Calibri" w:hAnsi="Calibri" w:cs="Calibri"/>
          <w:sz w:val="24"/>
          <w:szCs w:val="24"/>
        </w:rPr>
        <w:t>9391 9944</w:t>
      </w:r>
    </w:p>
    <w:p w:rsidR="00A86F1C" w:rsidRDefault="00A86F1C" w:rsidP="00A86F1C">
      <w:pPr>
        <w:spacing w:after="0" w:line="240" w:lineRule="auto"/>
        <w:rPr>
          <w:rFonts w:ascii="Calibri" w:hAnsi="Calibri" w:cs="Calibri"/>
          <w:sz w:val="24"/>
          <w:szCs w:val="24"/>
        </w:rPr>
      </w:pPr>
      <w:r w:rsidRPr="00A86F1C">
        <w:rPr>
          <w:rFonts w:ascii="Calibri" w:hAnsi="Calibri" w:cs="Calibri"/>
          <w:sz w:val="24"/>
          <w:szCs w:val="24"/>
        </w:rPr>
        <w:t xml:space="preserve">Email </w:t>
      </w:r>
      <w:hyperlink r:id="rId12" w:history="1">
        <w:r w:rsidR="007D6CCB" w:rsidRPr="00E57AE0">
          <w:rPr>
            <w:rStyle w:val="Hyperlink"/>
            <w:rFonts w:ascii="Calibri" w:hAnsi="Calibri" w:cs="Calibri"/>
            <w:sz w:val="24"/>
            <w:szCs w:val="24"/>
          </w:rPr>
          <w:t>pharmserv@moh.health.nsw.gov.au</w:t>
        </w:r>
      </w:hyperlink>
      <w:r w:rsidR="007D6CCB">
        <w:rPr>
          <w:rFonts w:ascii="Calibri" w:hAnsi="Calibri" w:cs="Calibri"/>
          <w:sz w:val="24"/>
          <w:szCs w:val="24"/>
        </w:rPr>
        <w:t xml:space="preserve"> </w:t>
      </w:r>
    </w:p>
    <w:p w:rsidR="00411922" w:rsidRPr="00907D05" w:rsidRDefault="00411922" w:rsidP="004C2CAE">
      <w:pPr>
        <w:spacing w:after="0" w:line="240" w:lineRule="auto"/>
        <w:rPr>
          <w:rFonts w:ascii="Calibri" w:hAnsi="Calibri" w:cs="Calibri"/>
          <w:sz w:val="24"/>
          <w:szCs w:val="24"/>
        </w:rPr>
      </w:pPr>
    </w:p>
    <w:sectPr w:rsidR="00411922" w:rsidRPr="00907D05" w:rsidSect="00567CB8">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E4" w:rsidRDefault="00EA2BE4" w:rsidP="00D65965">
      <w:r>
        <w:separator/>
      </w:r>
    </w:p>
  </w:endnote>
  <w:endnote w:type="continuationSeparator" w:id="0">
    <w:p w:rsidR="00EA2BE4" w:rsidRDefault="00EA2BE4" w:rsidP="00D6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3548A" w:themeColor="accent1"/>
      </w:tblBorders>
      <w:tblCellMar>
        <w:top w:w="58" w:type="dxa"/>
        <w:left w:w="115" w:type="dxa"/>
        <w:bottom w:w="58" w:type="dxa"/>
        <w:right w:w="115" w:type="dxa"/>
      </w:tblCellMar>
      <w:tblLook w:val="04A0" w:firstRow="1" w:lastRow="0" w:firstColumn="1" w:lastColumn="0" w:noHBand="0" w:noVBand="1"/>
    </w:tblPr>
    <w:tblGrid>
      <w:gridCol w:w="400"/>
      <w:gridCol w:w="8856"/>
    </w:tblGrid>
    <w:tr w:rsidR="00D738DF" w:rsidTr="00F00049">
      <w:tc>
        <w:tcPr>
          <w:tcW w:w="216" w:type="pct"/>
        </w:tcPr>
        <w:p w:rsidR="00D738DF" w:rsidRPr="00646513" w:rsidRDefault="00D738DF" w:rsidP="00F00049">
          <w:pPr>
            <w:pStyle w:val="Footer"/>
            <w:rPr>
              <w:rFonts w:ascii="Corbel" w:hAnsi="Corbel"/>
              <w:color w:val="53548A" w:themeColor="accent1"/>
            </w:rPr>
          </w:pPr>
          <w:r w:rsidRPr="00646513">
            <w:rPr>
              <w:rFonts w:ascii="Corbel" w:hAnsi="Corbel"/>
            </w:rPr>
            <w:fldChar w:fldCharType="begin"/>
          </w:r>
          <w:r w:rsidRPr="00646513">
            <w:rPr>
              <w:rFonts w:ascii="Corbel" w:hAnsi="Corbel"/>
            </w:rPr>
            <w:instrText xml:space="preserve"> PAGE   \* MERGEFORMAT </w:instrText>
          </w:r>
          <w:r w:rsidRPr="00646513">
            <w:rPr>
              <w:rFonts w:ascii="Corbel" w:hAnsi="Corbel"/>
            </w:rPr>
            <w:fldChar w:fldCharType="separate"/>
          </w:r>
          <w:r w:rsidR="00D249E3" w:rsidRPr="00D249E3">
            <w:rPr>
              <w:rFonts w:ascii="Corbel" w:hAnsi="Corbel"/>
              <w:noProof/>
              <w:color w:val="53548A" w:themeColor="accent1"/>
            </w:rPr>
            <w:t>1</w:t>
          </w:r>
          <w:r w:rsidRPr="00646513">
            <w:rPr>
              <w:rFonts w:ascii="Corbel" w:hAnsi="Corbel"/>
              <w:noProof/>
              <w:color w:val="53548A" w:themeColor="accent1"/>
            </w:rPr>
            <w:fldChar w:fldCharType="end"/>
          </w:r>
        </w:p>
      </w:tc>
      <w:tc>
        <w:tcPr>
          <w:tcW w:w="4784" w:type="pct"/>
        </w:tcPr>
        <w:p w:rsidR="00D738DF" w:rsidRPr="00646513" w:rsidRDefault="00D738DF" w:rsidP="00D738DF">
          <w:pPr>
            <w:pStyle w:val="Footer"/>
            <w:tabs>
              <w:tab w:val="clear" w:pos="4513"/>
              <w:tab w:val="center" w:pos="8956"/>
            </w:tabs>
            <w:rPr>
              <w:rFonts w:ascii="Corbel" w:hAnsi="Corbel"/>
              <w:color w:val="53548A" w:themeColor="accent1"/>
            </w:rPr>
          </w:pPr>
          <w:r>
            <w:rPr>
              <w:rFonts w:ascii="Corbel" w:hAnsi="Corbel"/>
              <w:color w:val="53548A" w:themeColor="accent1"/>
            </w:rPr>
            <w:t>Pharmaceutical Drugs of Addiction System (PHDAS)</w:t>
          </w:r>
          <w:r w:rsidR="007D6CCB">
            <w:rPr>
              <w:rFonts w:ascii="Corbel" w:hAnsi="Corbel"/>
              <w:color w:val="53548A" w:themeColor="accent1"/>
            </w:rPr>
            <w:t xml:space="preserve">          </w:t>
          </w:r>
          <w:r>
            <w:rPr>
              <w:rFonts w:ascii="Corbel" w:hAnsi="Corbel"/>
              <w:color w:val="53548A" w:themeColor="accent1"/>
            </w:rPr>
            <w:t xml:space="preserve"> Last updated 14 November 2013</w:t>
          </w:r>
        </w:p>
      </w:tc>
    </w:tr>
  </w:tbl>
  <w:p w:rsidR="00D738DF" w:rsidRPr="00D738DF" w:rsidRDefault="00D738DF" w:rsidP="00D738DF">
    <w:pPr>
      <w:pStyle w:val="Footer"/>
      <w:rPr>
        <w:rFonts w:ascii="Corbel" w:hAnsi="Corbel"/>
        <w:color w:val="53548A"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E4" w:rsidRDefault="00EA2BE4" w:rsidP="00D65965">
      <w:r>
        <w:separator/>
      </w:r>
    </w:p>
  </w:footnote>
  <w:footnote w:type="continuationSeparator" w:id="0">
    <w:p w:rsidR="00EA2BE4" w:rsidRDefault="00EA2BE4" w:rsidP="00D65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8CF"/>
    <w:multiLevelType w:val="multilevel"/>
    <w:tmpl w:val="543E2A3C"/>
    <w:lvl w:ilvl="0">
      <w:start w:val="1"/>
      <w:numFmt w:val="bullet"/>
      <w:lvlText w:val=""/>
      <w:lvlJc w:val="left"/>
      <w:pPr>
        <w:tabs>
          <w:tab w:val="num" w:pos="720"/>
        </w:tabs>
        <w:ind w:left="720" w:hanging="360"/>
      </w:pPr>
      <w:rPr>
        <w:rFonts w:ascii="Symbol" w:hAnsi="Symbol" w:hint="default"/>
        <w:color w:val="3E3E67" w:themeColor="accent1" w:themeShade="BF"/>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7EC2"/>
    <w:multiLevelType w:val="hybridMultilevel"/>
    <w:tmpl w:val="5A363DDE"/>
    <w:lvl w:ilvl="0" w:tplc="03E26612">
      <w:start w:val="1"/>
      <w:numFmt w:val="bullet"/>
      <w:lvlText w:val=""/>
      <w:lvlJc w:val="left"/>
      <w:pPr>
        <w:tabs>
          <w:tab w:val="num" w:pos="1080"/>
        </w:tabs>
        <w:ind w:left="890" w:hanging="170"/>
      </w:pPr>
      <w:rPr>
        <w:rFonts w:ascii="Symbol" w:hAnsi="Symbol" w:hint="default"/>
        <w:color w:val="3E3E67" w:themeColor="accent1" w:themeShade="BF"/>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2265011"/>
    <w:multiLevelType w:val="hybridMultilevel"/>
    <w:tmpl w:val="E104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2D51C5"/>
    <w:multiLevelType w:val="hybridMultilevel"/>
    <w:tmpl w:val="8BDAC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C44919"/>
    <w:multiLevelType w:val="hybridMultilevel"/>
    <w:tmpl w:val="2152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FB850F8"/>
    <w:multiLevelType w:val="hybridMultilevel"/>
    <w:tmpl w:val="E9F2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4380F59"/>
    <w:multiLevelType w:val="hybridMultilevel"/>
    <w:tmpl w:val="16506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A174EA0"/>
    <w:multiLevelType w:val="hybridMultilevel"/>
    <w:tmpl w:val="17AA4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6F67B7A"/>
    <w:multiLevelType w:val="hybridMultilevel"/>
    <w:tmpl w:val="9442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5"/>
  </w:num>
  <w:num w:numId="4">
    <w:abstractNumId w:val="10"/>
  </w:num>
  <w:num w:numId="5">
    <w:abstractNumId w:val="20"/>
  </w:num>
  <w:num w:numId="6">
    <w:abstractNumId w:val="14"/>
  </w:num>
  <w:num w:numId="7">
    <w:abstractNumId w:val="18"/>
  </w:num>
  <w:num w:numId="8">
    <w:abstractNumId w:val="16"/>
  </w:num>
  <w:num w:numId="9">
    <w:abstractNumId w:val="12"/>
  </w:num>
  <w:num w:numId="10">
    <w:abstractNumId w:val="2"/>
  </w:num>
  <w:num w:numId="11">
    <w:abstractNumId w:val="3"/>
  </w:num>
  <w:num w:numId="12">
    <w:abstractNumId w:val="11"/>
  </w:num>
  <w:num w:numId="13">
    <w:abstractNumId w:val="7"/>
  </w:num>
  <w:num w:numId="14">
    <w:abstractNumId w:val="23"/>
  </w:num>
  <w:num w:numId="15">
    <w:abstractNumId w:val="17"/>
  </w:num>
  <w:num w:numId="16">
    <w:abstractNumId w:val="24"/>
  </w:num>
  <w:num w:numId="17">
    <w:abstractNumId w:val="15"/>
  </w:num>
  <w:num w:numId="18">
    <w:abstractNumId w:val="5"/>
  </w:num>
  <w:num w:numId="19">
    <w:abstractNumId w:val="6"/>
  </w:num>
  <w:num w:numId="20">
    <w:abstractNumId w:val="8"/>
  </w:num>
  <w:num w:numId="21">
    <w:abstractNumId w:val="0"/>
  </w:num>
  <w:num w:numId="22">
    <w:abstractNumId w:val="1"/>
  </w:num>
  <w:num w:numId="23">
    <w:abstractNumId w:val="21"/>
  </w:num>
  <w:num w:numId="24">
    <w:abstractNumId w:val="22"/>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4A"/>
    <w:rsid w:val="00011A44"/>
    <w:rsid w:val="00013E1A"/>
    <w:rsid w:val="0001624A"/>
    <w:rsid w:val="00022639"/>
    <w:rsid w:val="0003089C"/>
    <w:rsid w:val="0004138F"/>
    <w:rsid w:val="00042765"/>
    <w:rsid w:val="00043D80"/>
    <w:rsid w:val="00045760"/>
    <w:rsid w:val="0005420C"/>
    <w:rsid w:val="000546C1"/>
    <w:rsid w:val="00062DFD"/>
    <w:rsid w:val="000842B6"/>
    <w:rsid w:val="00087A52"/>
    <w:rsid w:val="00095860"/>
    <w:rsid w:val="000968B5"/>
    <w:rsid w:val="000A055E"/>
    <w:rsid w:val="000A7E86"/>
    <w:rsid w:val="000E54E1"/>
    <w:rsid w:val="000E6AEF"/>
    <w:rsid w:val="000E6B4D"/>
    <w:rsid w:val="000F3455"/>
    <w:rsid w:val="000F5D4F"/>
    <w:rsid w:val="00117D75"/>
    <w:rsid w:val="00124B9F"/>
    <w:rsid w:val="0013216B"/>
    <w:rsid w:val="00144E32"/>
    <w:rsid w:val="00161927"/>
    <w:rsid w:val="0016315E"/>
    <w:rsid w:val="001815F0"/>
    <w:rsid w:val="00183155"/>
    <w:rsid w:val="00194DD7"/>
    <w:rsid w:val="001A14C1"/>
    <w:rsid w:val="001A1625"/>
    <w:rsid w:val="001B0E02"/>
    <w:rsid w:val="001B2D80"/>
    <w:rsid w:val="001B4E2B"/>
    <w:rsid w:val="001D3415"/>
    <w:rsid w:val="001E72E6"/>
    <w:rsid w:val="0020235D"/>
    <w:rsid w:val="00206040"/>
    <w:rsid w:val="00206C39"/>
    <w:rsid w:val="00215F58"/>
    <w:rsid w:val="002271AE"/>
    <w:rsid w:val="00275C74"/>
    <w:rsid w:val="00280E5C"/>
    <w:rsid w:val="00284A1A"/>
    <w:rsid w:val="002919A8"/>
    <w:rsid w:val="0029621F"/>
    <w:rsid w:val="002A79F8"/>
    <w:rsid w:val="002B629E"/>
    <w:rsid w:val="002B6D18"/>
    <w:rsid w:val="002C12E8"/>
    <w:rsid w:val="002C244C"/>
    <w:rsid w:val="002C6D07"/>
    <w:rsid w:val="002D28A7"/>
    <w:rsid w:val="002D6535"/>
    <w:rsid w:val="002E2E11"/>
    <w:rsid w:val="002F7C37"/>
    <w:rsid w:val="00302BE0"/>
    <w:rsid w:val="00305A7A"/>
    <w:rsid w:val="00306A37"/>
    <w:rsid w:val="00310850"/>
    <w:rsid w:val="00315322"/>
    <w:rsid w:val="00346F21"/>
    <w:rsid w:val="00347FE1"/>
    <w:rsid w:val="0035636C"/>
    <w:rsid w:val="00362526"/>
    <w:rsid w:val="0038007A"/>
    <w:rsid w:val="00384B68"/>
    <w:rsid w:val="00393AB0"/>
    <w:rsid w:val="003D7765"/>
    <w:rsid w:val="003E02F9"/>
    <w:rsid w:val="003E1499"/>
    <w:rsid w:val="003F0A78"/>
    <w:rsid w:val="003F4A67"/>
    <w:rsid w:val="00411922"/>
    <w:rsid w:val="00431E51"/>
    <w:rsid w:val="00440E44"/>
    <w:rsid w:val="004504F6"/>
    <w:rsid w:val="00450FC6"/>
    <w:rsid w:val="00451460"/>
    <w:rsid w:val="00466615"/>
    <w:rsid w:val="0049789A"/>
    <w:rsid w:val="004A5246"/>
    <w:rsid w:val="004B60AC"/>
    <w:rsid w:val="004B6110"/>
    <w:rsid w:val="004C113D"/>
    <w:rsid w:val="004C2CAE"/>
    <w:rsid w:val="004E4331"/>
    <w:rsid w:val="00510281"/>
    <w:rsid w:val="005269E7"/>
    <w:rsid w:val="005303E8"/>
    <w:rsid w:val="0053793A"/>
    <w:rsid w:val="00544DE6"/>
    <w:rsid w:val="005505E3"/>
    <w:rsid w:val="005509B2"/>
    <w:rsid w:val="00563EFE"/>
    <w:rsid w:val="00564F69"/>
    <w:rsid w:val="00567CB8"/>
    <w:rsid w:val="0058750A"/>
    <w:rsid w:val="005911FA"/>
    <w:rsid w:val="005919B2"/>
    <w:rsid w:val="00592C5F"/>
    <w:rsid w:val="005B4377"/>
    <w:rsid w:val="005B5DAD"/>
    <w:rsid w:val="005C669B"/>
    <w:rsid w:val="005C680C"/>
    <w:rsid w:val="005D33AA"/>
    <w:rsid w:val="005E2800"/>
    <w:rsid w:val="005E79E6"/>
    <w:rsid w:val="00613C57"/>
    <w:rsid w:val="00615234"/>
    <w:rsid w:val="006302A2"/>
    <w:rsid w:val="00633025"/>
    <w:rsid w:val="00641B87"/>
    <w:rsid w:val="00646513"/>
    <w:rsid w:val="00651362"/>
    <w:rsid w:val="00673357"/>
    <w:rsid w:val="006912C3"/>
    <w:rsid w:val="006A08AA"/>
    <w:rsid w:val="006C7A21"/>
    <w:rsid w:val="006D38EF"/>
    <w:rsid w:val="006D71DE"/>
    <w:rsid w:val="006E72EA"/>
    <w:rsid w:val="006F657A"/>
    <w:rsid w:val="0070283C"/>
    <w:rsid w:val="00706E92"/>
    <w:rsid w:val="007114B9"/>
    <w:rsid w:val="00714F8C"/>
    <w:rsid w:val="00715003"/>
    <w:rsid w:val="00717075"/>
    <w:rsid w:val="007173DD"/>
    <w:rsid w:val="00735AC3"/>
    <w:rsid w:val="00737086"/>
    <w:rsid w:val="00745256"/>
    <w:rsid w:val="0075539D"/>
    <w:rsid w:val="00772709"/>
    <w:rsid w:val="00774A5A"/>
    <w:rsid w:val="007822F9"/>
    <w:rsid w:val="007866E6"/>
    <w:rsid w:val="007869E4"/>
    <w:rsid w:val="007943D9"/>
    <w:rsid w:val="007A1CCF"/>
    <w:rsid w:val="007A6A37"/>
    <w:rsid w:val="007A6A55"/>
    <w:rsid w:val="007D3291"/>
    <w:rsid w:val="007D6CCB"/>
    <w:rsid w:val="007E1A4A"/>
    <w:rsid w:val="007E34DE"/>
    <w:rsid w:val="007E5895"/>
    <w:rsid w:val="00802133"/>
    <w:rsid w:val="0080436B"/>
    <w:rsid w:val="0082217B"/>
    <w:rsid w:val="00822E48"/>
    <w:rsid w:val="00824E33"/>
    <w:rsid w:val="00825415"/>
    <w:rsid w:val="0082764C"/>
    <w:rsid w:val="008365B3"/>
    <w:rsid w:val="00836F78"/>
    <w:rsid w:val="00846AE3"/>
    <w:rsid w:val="00846B95"/>
    <w:rsid w:val="00850003"/>
    <w:rsid w:val="00850863"/>
    <w:rsid w:val="00852D21"/>
    <w:rsid w:val="00855EE7"/>
    <w:rsid w:val="00864D4D"/>
    <w:rsid w:val="00870516"/>
    <w:rsid w:val="00873C67"/>
    <w:rsid w:val="008952CB"/>
    <w:rsid w:val="008978A5"/>
    <w:rsid w:val="008A5DE9"/>
    <w:rsid w:val="008B52CC"/>
    <w:rsid w:val="008C1B7B"/>
    <w:rsid w:val="008D7D9A"/>
    <w:rsid w:val="008E58D4"/>
    <w:rsid w:val="00906B7F"/>
    <w:rsid w:val="00907D05"/>
    <w:rsid w:val="00912A28"/>
    <w:rsid w:val="009157DF"/>
    <w:rsid w:val="00922301"/>
    <w:rsid w:val="009403A1"/>
    <w:rsid w:val="009432A5"/>
    <w:rsid w:val="009612D9"/>
    <w:rsid w:val="0096739F"/>
    <w:rsid w:val="0098614F"/>
    <w:rsid w:val="009A03F3"/>
    <w:rsid w:val="009B3732"/>
    <w:rsid w:val="009B6893"/>
    <w:rsid w:val="009E4B93"/>
    <w:rsid w:val="009F5F41"/>
    <w:rsid w:val="00A01561"/>
    <w:rsid w:val="00A034B0"/>
    <w:rsid w:val="00A17159"/>
    <w:rsid w:val="00A26918"/>
    <w:rsid w:val="00A26B43"/>
    <w:rsid w:val="00A3472D"/>
    <w:rsid w:val="00A4027E"/>
    <w:rsid w:val="00A47363"/>
    <w:rsid w:val="00A56710"/>
    <w:rsid w:val="00A70BA1"/>
    <w:rsid w:val="00A7673C"/>
    <w:rsid w:val="00A77259"/>
    <w:rsid w:val="00A84404"/>
    <w:rsid w:val="00A86366"/>
    <w:rsid w:val="00A86F1C"/>
    <w:rsid w:val="00A96FF7"/>
    <w:rsid w:val="00A9749E"/>
    <w:rsid w:val="00AC5418"/>
    <w:rsid w:val="00AD2EF7"/>
    <w:rsid w:val="00AD723A"/>
    <w:rsid w:val="00AE46AC"/>
    <w:rsid w:val="00AE49A8"/>
    <w:rsid w:val="00AE6272"/>
    <w:rsid w:val="00AF3CBF"/>
    <w:rsid w:val="00AF71F5"/>
    <w:rsid w:val="00B03B63"/>
    <w:rsid w:val="00B11051"/>
    <w:rsid w:val="00B143FA"/>
    <w:rsid w:val="00B205EA"/>
    <w:rsid w:val="00B24C27"/>
    <w:rsid w:val="00B26D3F"/>
    <w:rsid w:val="00B32323"/>
    <w:rsid w:val="00B35CB7"/>
    <w:rsid w:val="00B37AC4"/>
    <w:rsid w:val="00B37AD6"/>
    <w:rsid w:val="00B41FF9"/>
    <w:rsid w:val="00B42EB0"/>
    <w:rsid w:val="00B62003"/>
    <w:rsid w:val="00B67538"/>
    <w:rsid w:val="00B7702A"/>
    <w:rsid w:val="00B83F9B"/>
    <w:rsid w:val="00B918DB"/>
    <w:rsid w:val="00B93334"/>
    <w:rsid w:val="00BA16E0"/>
    <w:rsid w:val="00BC2D55"/>
    <w:rsid w:val="00BC567D"/>
    <w:rsid w:val="00BD160A"/>
    <w:rsid w:val="00BE223E"/>
    <w:rsid w:val="00BE53AE"/>
    <w:rsid w:val="00BE5D96"/>
    <w:rsid w:val="00BE781D"/>
    <w:rsid w:val="00C05620"/>
    <w:rsid w:val="00C05D69"/>
    <w:rsid w:val="00C06E0C"/>
    <w:rsid w:val="00C120E5"/>
    <w:rsid w:val="00C14CA2"/>
    <w:rsid w:val="00C16763"/>
    <w:rsid w:val="00C204E2"/>
    <w:rsid w:val="00C257A6"/>
    <w:rsid w:val="00C27A7E"/>
    <w:rsid w:val="00C3639E"/>
    <w:rsid w:val="00C5153D"/>
    <w:rsid w:val="00C517DA"/>
    <w:rsid w:val="00C52452"/>
    <w:rsid w:val="00C53759"/>
    <w:rsid w:val="00C537CC"/>
    <w:rsid w:val="00C614BE"/>
    <w:rsid w:val="00C640E0"/>
    <w:rsid w:val="00C72379"/>
    <w:rsid w:val="00C75658"/>
    <w:rsid w:val="00C84479"/>
    <w:rsid w:val="00C97233"/>
    <w:rsid w:val="00C97636"/>
    <w:rsid w:val="00CA041A"/>
    <w:rsid w:val="00CA4CDD"/>
    <w:rsid w:val="00CC027C"/>
    <w:rsid w:val="00CC2F5D"/>
    <w:rsid w:val="00CC3D73"/>
    <w:rsid w:val="00CC3E07"/>
    <w:rsid w:val="00CC5BBA"/>
    <w:rsid w:val="00CD1602"/>
    <w:rsid w:val="00CD70E5"/>
    <w:rsid w:val="00CE70BD"/>
    <w:rsid w:val="00D00437"/>
    <w:rsid w:val="00D107BE"/>
    <w:rsid w:val="00D219B2"/>
    <w:rsid w:val="00D249E3"/>
    <w:rsid w:val="00D271D9"/>
    <w:rsid w:val="00D36A05"/>
    <w:rsid w:val="00D4059E"/>
    <w:rsid w:val="00D45CB5"/>
    <w:rsid w:val="00D46F02"/>
    <w:rsid w:val="00D631B3"/>
    <w:rsid w:val="00D65965"/>
    <w:rsid w:val="00D66602"/>
    <w:rsid w:val="00D67A32"/>
    <w:rsid w:val="00D738DF"/>
    <w:rsid w:val="00D77B12"/>
    <w:rsid w:val="00D80D9C"/>
    <w:rsid w:val="00D84B6E"/>
    <w:rsid w:val="00D96BB7"/>
    <w:rsid w:val="00DA3470"/>
    <w:rsid w:val="00DA416C"/>
    <w:rsid w:val="00DA6D50"/>
    <w:rsid w:val="00DB1982"/>
    <w:rsid w:val="00DD534B"/>
    <w:rsid w:val="00DD62B6"/>
    <w:rsid w:val="00DE3801"/>
    <w:rsid w:val="00E05F4A"/>
    <w:rsid w:val="00E14B6F"/>
    <w:rsid w:val="00E27B9E"/>
    <w:rsid w:val="00E33CFF"/>
    <w:rsid w:val="00E35AD3"/>
    <w:rsid w:val="00E458C4"/>
    <w:rsid w:val="00E46141"/>
    <w:rsid w:val="00E56386"/>
    <w:rsid w:val="00E56686"/>
    <w:rsid w:val="00E578B5"/>
    <w:rsid w:val="00E6064B"/>
    <w:rsid w:val="00E864C0"/>
    <w:rsid w:val="00E9028B"/>
    <w:rsid w:val="00E907E7"/>
    <w:rsid w:val="00EA07F2"/>
    <w:rsid w:val="00EA1321"/>
    <w:rsid w:val="00EA2BE4"/>
    <w:rsid w:val="00EB65AB"/>
    <w:rsid w:val="00EC58EB"/>
    <w:rsid w:val="00EF70A2"/>
    <w:rsid w:val="00F00049"/>
    <w:rsid w:val="00F00A62"/>
    <w:rsid w:val="00F07B67"/>
    <w:rsid w:val="00F10270"/>
    <w:rsid w:val="00F110CE"/>
    <w:rsid w:val="00F140B4"/>
    <w:rsid w:val="00F26360"/>
    <w:rsid w:val="00F26903"/>
    <w:rsid w:val="00F26D02"/>
    <w:rsid w:val="00F31835"/>
    <w:rsid w:val="00F4138A"/>
    <w:rsid w:val="00F511ED"/>
    <w:rsid w:val="00F56B41"/>
    <w:rsid w:val="00F66C5A"/>
    <w:rsid w:val="00F73AAE"/>
    <w:rsid w:val="00F820F6"/>
    <w:rsid w:val="00F83DDD"/>
    <w:rsid w:val="00F84522"/>
    <w:rsid w:val="00F90085"/>
    <w:rsid w:val="00F94E58"/>
    <w:rsid w:val="00F9598E"/>
    <w:rsid w:val="00FB25CF"/>
    <w:rsid w:val="00FB3B3D"/>
    <w:rsid w:val="00FB5C05"/>
    <w:rsid w:val="00FB5F3F"/>
    <w:rsid w:val="00FC0412"/>
    <w:rsid w:val="00FD16D1"/>
    <w:rsid w:val="00FD34CA"/>
    <w:rsid w:val="00FE0435"/>
    <w:rsid w:val="00FF4221"/>
    <w:rsid w:val="00FF4ED7"/>
    <w:rsid w:val="00FF5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4C2CA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4C2CAE"/>
    <w:rPr>
      <w:rFonts w:ascii="Arial" w:eastAsia="Times New Roman" w:hAnsi="Arial" w:cs="Times New Roman"/>
      <w:sz w:val="16"/>
      <w:szCs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4C2CA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4C2CAE"/>
    <w:rPr>
      <w:rFonts w:ascii="Arial" w:eastAsia="Times New Roman" w:hAnsi="Arial" w:cs="Times New Roman"/>
      <w:sz w:val="16"/>
      <w:szCs w:val="16"/>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1035619284">
      <w:bodyDiv w:val="1"/>
      <w:marLeft w:val="0"/>
      <w:marRight w:val="0"/>
      <w:marTop w:val="0"/>
      <w:marBottom w:val="0"/>
      <w:divBdr>
        <w:top w:val="none" w:sz="0" w:space="0" w:color="auto"/>
        <w:left w:val="none" w:sz="0" w:space="0" w:color="auto"/>
        <w:bottom w:val="none" w:sz="0" w:space="0" w:color="auto"/>
        <w:right w:val="none" w:sz="0" w:space="0" w:color="auto"/>
      </w:divBdr>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6299">
      <w:bodyDiv w:val="1"/>
      <w:marLeft w:val="0"/>
      <w:marRight w:val="0"/>
      <w:marTop w:val="0"/>
      <w:marBottom w:val="0"/>
      <w:divBdr>
        <w:top w:val="none" w:sz="0" w:space="0" w:color="auto"/>
        <w:left w:val="none" w:sz="0" w:space="0" w:color="auto"/>
        <w:bottom w:val="none" w:sz="0" w:space="0" w:color="auto"/>
        <w:right w:val="none" w:sz="0" w:space="0" w:color="auto"/>
      </w:divBdr>
    </w:div>
    <w:div w:id="1603956406">
      <w:bodyDiv w:val="1"/>
      <w:marLeft w:val="0"/>
      <w:marRight w:val="0"/>
      <w:marTop w:val="0"/>
      <w:marBottom w:val="0"/>
      <w:divBdr>
        <w:top w:val="none" w:sz="0" w:space="0" w:color="auto"/>
        <w:left w:val="none" w:sz="0" w:space="0" w:color="auto"/>
        <w:bottom w:val="none" w:sz="0" w:space="0" w:color="auto"/>
        <w:right w:val="none" w:sz="0" w:space="0" w:color="auto"/>
      </w:divBdr>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7867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harmserv@moh.health.nsw.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rel.org.au/external-datase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cherel@moh.health.nsw.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A4846-582B-4E74-B9BF-40568A3D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Emergency Department Data Collection</vt:lpstr>
    </vt:vector>
  </TitlesOfParts>
  <Company>Cancer Institute NSW</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PhDAS Description</dc:title>
  <dc:creator>htard</dc:creator>
  <dc:description>Pharmaceutical Drugs of Addiction System Description</dc:description>
  <cp:lastModifiedBy>PYE, Victoria</cp:lastModifiedBy>
  <cp:revision>4</cp:revision>
  <cp:lastPrinted>2011-06-08T22:35:00Z</cp:lastPrinted>
  <dcterms:created xsi:type="dcterms:W3CDTF">2016-02-12T00:36:00Z</dcterms:created>
  <dcterms:modified xsi:type="dcterms:W3CDTF">2016-02-12T00:37:00Z</dcterms:modified>
</cp:coreProperties>
</file>