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C4" w:rsidRPr="00EA147E" w:rsidRDefault="00C443B4" w:rsidP="003D3C9F">
      <w:pPr>
        <w:pStyle w:val="Title"/>
        <w:spacing w:after="0"/>
        <w:rPr>
          <w:rFonts w:ascii="Corbel" w:hAnsi="Corbel"/>
          <w:b/>
        </w:rPr>
      </w:pPr>
      <w:r>
        <w:rPr>
          <w:rFonts w:ascii="Corbel" w:hAnsi="Corbel"/>
          <w:b/>
        </w:rPr>
        <w:t>A</w:t>
      </w:r>
      <w:r w:rsidR="0092794E">
        <w:rPr>
          <w:rFonts w:ascii="Corbel" w:hAnsi="Corbel"/>
          <w:b/>
        </w:rPr>
        <w:t>CT</w:t>
      </w:r>
      <w:r>
        <w:rPr>
          <w:rFonts w:ascii="Corbel" w:hAnsi="Corbel"/>
          <w:b/>
        </w:rPr>
        <w:t xml:space="preserve"> Cervical Screening</w:t>
      </w:r>
      <w:r w:rsidR="00F052B1">
        <w:rPr>
          <w:rFonts w:ascii="Corbel" w:hAnsi="Corbel"/>
          <w:b/>
        </w:rPr>
        <w:t xml:space="preserve"> Register Data Dictionary</w:t>
      </w:r>
      <w:r w:rsidR="00054C31">
        <w:rPr>
          <w:rFonts w:ascii="Corbel" w:hAnsi="Corbel"/>
          <w:b/>
        </w:rPr>
        <w:t xml:space="preserve"> for Record Linkage</w:t>
      </w:r>
    </w:p>
    <w:p w:rsidR="003D3C9F" w:rsidRPr="000669A2" w:rsidRDefault="00C443B4" w:rsidP="000669A2">
      <w:pPr>
        <w:pStyle w:val="Subtitle"/>
        <w:jc w:val="right"/>
        <w:rPr>
          <w:rFonts w:ascii="Corbel" w:hAnsi="Corbel"/>
          <w:b/>
          <w:i w:val="0"/>
          <w:sz w:val="32"/>
          <w:szCs w:val="32"/>
        </w:rPr>
      </w:pPr>
      <w:r>
        <w:rPr>
          <w:rFonts w:ascii="Corbel" w:hAnsi="Corbel"/>
          <w:i w:val="0"/>
          <w:sz w:val="32"/>
          <w:szCs w:val="32"/>
        </w:rPr>
        <w:t>ACT</w:t>
      </w:r>
      <w:r w:rsidRPr="000669A2">
        <w:rPr>
          <w:rFonts w:ascii="Corbel" w:hAnsi="Corbel"/>
          <w:i w:val="0"/>
          <w:sz w:val="32"/>
          <w:szCs w:val="32"/>
        </w:rPr>
        <w:t xml:space="preserve"> </w:t>
      </w:r>
      <w:r w:rsidR="00F052B1" w:rsidRPr="000669A2">
        <w:rPr>
          <w:rFonts w:ascii="Corbel" w:hAnsi="Corbel"/>
          <w:i w:val="0"/>
          <w:sz w:val="32"/>
          <w:szCs w:val="32"/>
        </w:rPr>
        <w:t>Cervical Screening Program</w:t>
      </w:r>
    </w:p>
    <w:p w:rsidR="00B42EB0" w:rsidRPr="002A79F8" w:rsidRDefault="00B42EB0" w:rsidP="00C5153D">
      <w:pPr>
        <w:pStyle w:val="ListParagraph"/>
      </w:pPr>
    </w:p>
    <w:p w:rsidR="00B42EB0" w:rsidRPr="000F050A" w:rsidRDefault="00B42EB0" w:rsidP="000669A2">
      <w:pPr>
        <w:pStyle w:val="Heading1"/>
      </w:pPr>
      <w:r w:rsidRPr="000F050A">
        <w:t>Background</w:t>
      </w:r>
    </w:p>
    <w:p w:rsidR="0092794E" w:rsidRDefault="00B019F2" w:rsidP="005E650C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  <w:r w:rsidRPr="00B019F2">
        <w:rPr>
          <w:rFonts w:ascii="Calibri" w:hAnsi="Calibri"/>
          <w:sz w:val="24"/>
          <w:szCs w:val="24"/>
        </w:rPr>
        <w:t xml:space="preserve">The </w:t>
      </w:r>
      <w:r w:rsidR="00C443B4">
        <w:rPr>
          <w:rFonts w:ascii="Calibri" w:hAnsi="Calibri"/>
          <w:sz w:val="24"/>
          <w:szCs w:val="24"/>
        </w:rPr>
        <w:t>A</w:t>
      </w:r>
      <w:r w:rsidR="0092794E">
        <w:rPr>
          <w:rFonts w:ascii="Calibri" w:hAnsi="Calibri"/>
          <w:sz w:val="24"/>
          <w:szCs w:val="24"/>
        </w:rPr>
        <w:t>CT</w:t>
      </w:r>
      <w:r w:rsidR="00C443B4">
        <w:rPr>
          <w:rFonts w:ascii="Calibri" w:hAnsi="Calibri"/>
          <w:sz w:val="24"/>
          <w:szCs w:val="24"/>
        </w:rPr>
        <w:t xml:space="preserve"> Cervical Screening</w:t>
      </w:r>
      <w:r w:rsidRPr="00B019F2">
        <w:rPr>
          <w:rFonts w:ascii="Calibri" w:hAnsi="Calibri"/>
          <w:sz w:val="24"/>
          <w:szCs w:val="24"/>
        </w:rPr>
        <w:t xml:space="preserve"> Register (</w:t>
      </w:r>
      <w:r w:rsidR="00C443B4">
        <w:rPr>
          <w:rFonts w:ascii="Calibri" w:hAnsi="Calibri"/>
          <w:sz w:val="24"/>
          <w:szCs w:val="24"/>
        </w:rPr>
        <w:t>CSR</w:t>
      </w:r>
      <w:r w:rsidR="00C443B4" w:rsidRPr="00B019F2">
        <w:rPr>
          <w:rFonts w:ascii="Calibri" w:hAnsi="Calibri"/>
          <w:sz w:val="24"/>
          <w:szCs w:val="24"/>
        </w:rPr>
        <w:t xml:space="preserve"> </w:t>
      </w:r>
      <w:r w:rsidRPr="00B019F2">
        <w:rPr>
          <w:rFonts w:ascii="Calibri" w:hAnsi="Calibri"/>
          <w:sz w:val="24"/>
          <w:szCs w:val="24"/>
        </w:rPr>
        <w:t xml:space="preserve">or the Register) was established in </w:t>
      </w:r>
      <w:r w:rsidR="00C443B4" w:rsidRPr="00B019F2">
        <w:rPr>
          <w:rFonts w:ascii="Calibri" w:hAnsi="Calibri"/>
          <w:sz w:val="24"/>
          <w:szCs w:val="24"/>
        </w:rPr>
        <w:t>199</w:t>
      </w:r>
      <w:r w:rsidR="00C443B4">
        <w:rPr>
          <w:rFonts w:ascii="Calibri" w:hAnsi="Calibri"/>
          <w:sz w:val="24"/>
          <w:szCs w:val="24"/>
        </w:rPr>
        <w:t xml:space="preserve">5 </w:t>
      </w:r>
      <w:r w:rsidRPr="00B019F2">
        <w:rPr>
          <w:rFonts w:ascii="Calibri" w:hAnsi="Calibri"/>
          <w:sz w:val="24"/>
          <w:szCs w:val="24"/>
        </w:rPr>
        <w:t xml:space="preserve">in accordance with the </w:t>
      </w:r>
      <w:r w:rsidR="00C443B4">
        <w:rPr>
          <w:rFonts w:ascii="Calibri" w:hAnsi="Calibri"/>
          <w:sz w:val="24"/>
          <w:szCs w:val="24"/>
        </w:rPr>
        <w:t>ACT</w:t>
      </w:r>
      <w:r w:rsidR="00C443B4" w:rsidRPr="00B019F2">
        <w:rPr>
          <w:rFonts w:ascii="Calibri" w:hAnsi="Calibri"/>
          <w:sz w:val="24"/>
          <w:szCs w:val="24"/>
        </w:rPr>
        <w:t xml:space="preserve"> </w:t>
      </w:r>
      <w:r w:rsidRPr="00B019F2">
        <w:rPr>
          <w:rFonts w:ascii="Calibri" w:hAnsi="Calibri"/>
          <w:sz w:val="24"/>
          <w:szCs w:val="24"/>
        </w:rPr>
        <w:t>Public Health Act</w:t>
      </w:r>
      <w:r w:rsidR="00C443B4">
        <w:rPr>
          <w:rFonts w:ascii="Calibri" w:hAnsi="Calibri"/>
          <w:sz w:val="24"/>
          <w:szCs w:val="24"/>
        </w:rPr>
        <w:t xml:space="preserve"> Regulations</w:t>
      </w:r>
      <w:r w:rsidR="00C443B4" w:rsidRPr="00B019F2">
        <w:rPr>
          <w:rFonts w:ascii="Calibri" w:hAnsi="Calibri"/>
          <w:sz w:val="24"/>
          <w:szCs w:val="24"/>
        </w:rPr>
        <w:t xml:space="preserve"> </w:t>
      </w:r>
      <w:r w:rsidR="0092794E">
        <w:rPr>
          <w:rFonts w:ascii="Calibri" w:hAnsi="Calibri"/>
          <w:sz w:val="24"/>
          <w:szCs w:val="24"/>
        </w:rPr>
        <w:t>2000</w:t>
      </w:r>
      <w:r w:rsidR="008E6D7C">
        <w:rPr>
          <w:rFonts w:ascii="Calibri" w:hAnsi="Calibri"/>
          <w:sz w:val="24"/>
          <w:szCs w:val="24"/>
        </w:rPr>
        <w:t xml:space="preserve"> </w:t>
      </w:r>
      <w:r w:rsidRPr="00B019F2">
        <w:rPr>
          <w:rFonts w:ascii="Calibri" w:hAnsi="Calibri"/>
          <w:sz w:val="24"/>
          <w:szCs w:val="24"/>
        </w:rPr>
        <w:t xml:space="preserve">and is managed by the </w:t>
      </w:r>
      <w:r w:rsidR="00C443B4">
        <w:rPr>
          <w:rFonts w:ascii="Calibri" w:hAnsi="Calibri"/>
          <w:sz w:val="24"/>
          <w:szCs w:val="24"/>
        </w:rPr>
        <w:t>ACT</w:t>
      </w:r>
      <w:r w:rsidR="00C443B4" w:rsidRPr="00B019F2">
        <w:rPr>
          <w:rFonts w:ascii="Calibri" w:hAnsi="Calibri"/>
          <w:sz w:val="24"/>
          <w:szCs w:val="24"/>
        </w:rPr>
        <w:t xml:space="preserve"> </w:t>
      </w:r>
      <w:r w:rsidRPr="00B019F2">
        <w:rPr>
          <w:rFonts w:ascii="Calibri" w:hAnsi="Calibri"/>
          <w:sz w:val="24"/>
          <w:szCs w:val="24"/>
        </w:rPr>
        <w:t>C</w:t>
      </w:r>
      <w:r w:rsidR="00BF0058">
        <w:rPr>
          <w:rFonts w:ascii="Calibri" w:hAnsi="Calibri"/>
          <w:sz w:val="24"/>
          <w:szCs w:val="24"/>
        </w:rPr>
        <w:t xml:space="preserve">ervical </w:t>
      </w:r>
      <w:r w:rsidRPr="00B019F2">
        <w:rPr>
          <w:rFonts w:ascii="Calibri" w:hAnsi="Calibri"/>
          <w:sz w:val="24"/>
          <w:szCs w:val="24"/>
        </w:rPr>
        <w:t>S</w:t>
      </w:r>
      <w:r w:rsidR="00BF0058">
        <w:rPr>
          <w:rFonts w:ascii="Calibri" w:hAnsi="Calibri"/>
          <w:sz w:val="24"/>
          <w:szCs w:val="24"/>
        </w:rPr>
        <w:t xml:space="preserve">creening </w:t>
      </w:r>
      <w:r w:rsidRPr="00B019F2">
        <w:rPr>
          <w:rFonts w:ascii="Calibri" w:hAnsi="Calibri"/>
          <w:sz w:val="24"/>
          <w:szCs w:val="24"/>
        </w:rPr>
        <w:t>P</w:t>
      </w:r>
      <w:r w:rsidR="00BF0058">
        <w:rPr>
          <w:rFonts w:ascii="Calibri" w:hAnsi="Calibri"/>
          <w:sz w:val="24"/>
          <w:szCs w:val="24"/>
        </w:rPr>
        <w:t>rogram</w:t>
      </w:r>
      <w:r w:rsidR="0092794E">
        <w:rPr>
          <w:rFonts w:ascii="Calibri" w:hAnsi="Calibri"/>
          <w:sz w:val="24"/>
          <w:szCs w:val="24"/>
        </w:rPr>
        <w:t>,</w:t>
      </w:r>
      <w:r w:rsidRPr="00B019F2">
        <w:rPr>
          <w:rFonts w:ascii="Calibri" w:hAnsi="Calibri"/>
          <w:sz w:val="24"/>
          <w:szCs w:val="24"/>
        </w:rPr>
        <w:t xml:space="preserve"> </w:t>
      </w:r>
      <w:r w:rsidR="00C443B4">
        <w:rPr>
          <w:rFonts w:ascii="Calibri" w:hAnsi="Calibri"/>
          <w:sz w:val="24"/>
          <w:szCs w:val="24"/>
        </w:rPr>
        <w:t>Health Improvement Branch, ACT Health</w:t>
      </w:r>
      <w:r w:rsidRPr="00B019F2">
        <w:rPr>
          <w:rFonts w:ascii="Calibri" w:hAnsi="Calibri"/>
          <w:sz w:val="24"/>
          <w:szCs w:val="24"/>
        </w:rPr>
        <w:t xml:space="preserve">. </w:t>
      </w:r>
    </w:p>
    <w:p w:rsidR="0092794E" w:rsidRDefault="0092794E" w:rsidP="005E650C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</w:p>
    <w:p w:rsidR="0092794E" w:rsidRDefault="00441D41" w:rsidP="005E650C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24"/>
          <w:szCs w:val="24"/>
        </w:rPr>
      </w:pPr>
      <w:r w:rsidRPr="00B019F2">
        <w:rPr>
          <w:rFonts w:ascii="Calibri" w:hAnsi="Calibri"/>
          <w:sz w:val="24"/>
          <w:szCs w:val="24"/>
        </w:rPr>
        <w:t xml:space="preserve">The </w:t>
      </w:r>
      <w:r w:rsidR="00C443B4">
        <w:rPr>
          <w:rFonts w:ascii="Calibri" w:hAnsi="Calibri"/>
          <w:sz w:val="24"/>
          <w:szCs w:val="24"/>
        </w:rPr>
        <w:t>ACT</w:t>
      </w:r>
      <w:r w:rsidR="00C443B4" w:rsidRPr="00B019F2">
        <w:rPr>
          <w:rFonts w:ascii="Calibri" w:hAnsi="Calibri"/>
          <w:sz w:val="24"/>
          <w:szCs w:val="24"/>
        </w:rPr>
        <w:t xml:space="preserve"> </w:t>
      </w:r>
      <w:r w:rsidRPr="00B019F2">
        <w:rPr>
          <w:rFonts w:ascii="Calibri" w:hAnsi="Calibri"/>
          <w:sz w:val="24"/>
          <w:szCs w:val="24"/>
        </w:rPr>
        <w:t>Cervical Screening Program (</w:t>
      </w:r>
      <w:r w:rsidR="00C443B4">
        <w:rPr>
          <w:rFonts w:ascii="Calibri" w:hAnsi="Calibri"/>
          <w:sz w:val="24"/>
          <w:szCs w:val="24"/>
        </w:rPr>
        <w:t>ACT</w:t>
      </w:r>
      <w:r w:rsidR="00C443B4" w:rsidRPr="00B019F2">
        <w:rPr>
          <w:rFonts w:ascii="Calibri" w:hAnsi="Calibri"/>
          <w:sz w:val="24"/>
          <w:szCs w:val="24"/>
        </w:rPr>
        <w:t xml:space="preserve"> </w:t>
      </w:r>
      <w:r w:rsidRPr="00B019F2">
        <w:rPr>
          <w:rFonts w:ascii="Calibri" w:hAnsi="Calibri"/>
          <w:sz w:val="24"/>
          <w:szCs w:val="24"/>
        </w:rPr>
        <w:t xml:space="preserve">CSP or the Program) is a jointly-funded Commonwealth/State and Territory initiative under the National Healthcare Agreement. </w:t>
      </w:r>
      <w:r w:rsidR="0092794E">
        <w:rPr>
          <w:rFonts w:ascii="Calibri" w:hAnsi="Calibri"/>
          <w:sz w:val="24"/>
          <w:szCs w:val="24"/>
        </w:rPr>
        <w:t xml:space="preserve">It aims to </w:t>
      </w:r>
      <w:r w:rsidR="0092794E" w:rsidRPr="00B019F2">
        <w:rPr>
          <w:rFonts w:ascii="Calibri" w:hAnsi="Calibri"/>
          <w:sz w:val="24"/>
          <w:szCs w:val="24"/>
        </w:rPr>
        <w:t xml:space="preserve">implement an organised approach to cervical screening in </w:t>
      </w:r>
      <w:r w:rsidR="0092794E">
        <w:rPr>
          <w:rFonts w:ascii="Calibri" w:hAnsi="Calibri"/>
          <w:sz w:val="24"/>
          <w:szCs w:val="24"/>
        </w:rPr>
        <w:t xml:space="preserve">the ACT. The ACT CSP is part of the </w:t>
      </w:r>
      <w:r w:rsidR="0092794E" w:rsidRPr="00B019F2">
        <w:rPr>
          <w:rFonts w:ascii="Calibri" w:hAnsi="Calibri"/>
          <w:sz w:val="24"/>
          <w:szCs w:val="24"/>
        </w:rPr>
        <w:t>National Cervical Screening</w:t>
      </w:r>
      <w:r w:rsidR="0092794E" w:rsidRPr="0092794E">
        <w:rPr>
          <w:rFonts w:ascii="Calibri" w:hAnsi="Calibri"/>
          <w:sz w:val="24"/>
          <w:szCs w:val="24"/>
        </w:rPr>
        <w:t xml:space="preserve"> </w:t>
      </w:r>
      <w:r w:rsidR="0092794E" w:rsidRPr="00B019F2">
        <w:rPr>
          <w:rFonts w:ascii="Calibri" w:hAnsi="Calibri"/>
          <w:sz w:val="24"/>
          <w:szCs w:val="24"/>
        </w:rPr>
        <w:t>Program</w:t>
      </w:r>
      <w:r w:rsidR="0092794E">
        <w:rPr>
          <w:rFonts w:ascii="Calibri" w:hAnsi="Calibri"/>
          <w:sz w:val="24"/>
          <w:szCs w:val="24"/>
        </w:rPr>
        <w:t xml:space="preserve"> and operates in line with </w:t>
      </w:r>
      <w:r w:rsidR="0092794E" w:rsidRPr="00B019F2">
        <w:rPr>
          <w:rFonts w:ascii="Calibri" w:hAnsi="Calibri"/>
          <w:sz w:val="24"/>
          <w:szCs w:val="24"/>
        </w:rPr>
        <w:t>national cervical screening policies and guidelines</w:t>
      </w:r>
      <w:r w:rsidR="0092794E">
        <w:rPr>
          <w:rFonts w:ascii="Calibri" w:hAnsi="Calibri"/>
          <w:sz w:val="24"/>
          <w:szCs w:val="24"/>
        </w:rPr>
        <w:t>.</w:t>
      </w:r>
    </w:p>
    <w:p w:rsidR="004E6AC1" w:rsidRDefault="004E6AC1" w:rsidP="00BF0058">
      <w:pPr>
        <w:pStyle w:val="ListParagraph"/>
        <w:ind w:left="0"/>
        <w:rPr>
          <w:rFonts w:ascii="Corbel" w:hAnsi="Corbel"/>
          <w:b/>
          <w:color w:val="3E3E67"/>
          <w:sz w:val="28"/>
          <w:szCs w:val="28"/>
        </w:rPr>
      </w:pPr>
    </w:p>
    <w:p w:rsidR="00BF0058" w:rsidRPr="000F050A" w:rsidRDefault="00BF0058" w:rsidP="000669A2">
      <w:pPr>
        <w:pStyle w:val="Heading1"/>
      </w:pPr>
      <w:r>
        <w:t>Coverage</w:t>
      </w:r>
    </w:p>
    <w:p w:rsidR="008A4893" w:rsidRDefault="00356646" w:rsidP="00B019F2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</w:t>
      </w:r>
      <w:r w:rsidR="00C443B4">
        <w:rPr>
          <w:rFonts w:ascii="Calibri" w:hAnsi="Calibri"/>
          <w:sz w:val="24"/>
          <w:szCs w:val="24"/>
        </w:rPr>
        <w:t xml:space="preserve">CSR </w:t>
      </w:r>
      <w:r>
        <w:rPr>
          <w:rFonts w:ascii="Calibri" w:hAnsi="Calibri"/>
          <w:sz w:val="24"/>
          <w:szCs w:val="24"/>
        </w:rPr>
        <w:t xml:space="preserve">was established in </w:t>
      </w:r>
      <w:r w:rsidR="00C443B4">
        <w:rPr>
          <w:rFonts w:ascii="Calibri" w:hAnsi="Calibri"/>
          <w:sz w:val="24"/>
          <w:szCs w:val="24"/>
        </w:rPr>
        <w:t xml:space="preserve">1995 </w:t>
      </w:r>
      <w:r>
        <w:rPr>
          <w:rFonts w:ascii="Calibri" w:hAnsi="Calibri"/>
          <w:sz w:val="24"/>
          <w:szCs w:val="24"/>
        </w:rPr>
        <w:t xml:space="preserve">as </w:t>
      </w:r>
      <w:r w:rsidR="00A63330" w:rsidRPr="00B019F2">
        <w:rPr>
          <w:rFonts w:ascii="Calibri" w:hAnsi="Calibri"/>
          <w:sz w:val="24"/>
          <w:szCs w:val="24"/>
        </w:rPr>
        <w:t>a centralised and confidential database of</w:t>
      </w:r>
      <w:r w:rsidR="008810BF">
        <w:rPr>
          <w:rFonts w:ascii="Calibri" w:hAnsi="Calibri"/>
          <w:sz w:val="24"/>
          <w:szCs w:val="24"/>
        </w:rPr>
        <w:t xml:space="preserve"> cervical </w:t>
      </w:r>
      <w:r w:rsidR="007F13EB">
        <w:rPr>
          <w:rFonts w:ascii="Calibri" w:hAnsi="Calibri"/>
          <w:sz w:val="24"/>
          <w:szCs w:val="24"/>
        </w:rPr>
        <w:t xml:space="preserve">cancer </w:t>
      </w:r>
      <w:r w:rsidR="008810BF">
        <w:rPr>
          <w:rFonts w:ascii="Calibri" w:hAnsi="Calibri"/>
          <w:sz w:val="24"/>
          <w:szCs w:val="24"/>
        </w:rPr>
        <w:t xml:space="preserve">test results </w:t>
      </w:r>
      <w:r w:rsidR="00A63330" w:rsidRPr="00B019F2">
        <w:rPr>
          <w:rFonts w:ascii="Calibri" w:hAnsi="Calibri"/>
          <w:sz w:val="24"/>
          <w:szCs w:val="24"/>
        </w:rPr>
        <w:t xml:space="preserve">for </w:t>
      </w:r>
      <w:r w:rsidR="00C443B4">
        <w:rPr>
          <w:rFonts w:ascii="Calibri" w:hAnsi="Calibri"/>
          <w:sz w:val="24"/>
          <w:szCs w:val="24"/>
        </w:rPr>
        <w:t xml:space="preserve">ACT </w:t>
      </w:r>
      <w:r w:rsidR="004762C5">
        <w:rPr>
          <w:rFonts w:ascii="Calibri" w:hAnsi="Calibri"/>
          <w:sz w:val="24"/>
          <w:szCs w:val="24"/>
        </w:rPr>
        <w:t>women</w:t>
      </w:r>
      <w:r w:rsidR="00A63330" w:rsidRPr="00B019F2">
        <w:rPr>
          <w:rFonts w:ascii="Calibri" w:hAnsi="Calibri"/>
          <w:sz w:val="24"/>
          <w:szCs w:val="24"/>
        </w:rPr>
        <w:t>.</w:t>
      </w:r>
      <w:r w:rsidR="008810BF">
        <w:rPr>
          <w:rFonts w:ascii="Calibri" w:hAnsi="Calibri"/>
          <w:sz w:val="24"/>
          <w:szCs w:val="24"/>
        </w:rPr>
        <w:t xml:space="preserve"> </w:t>
      </w:r>
      <w:r w:rsidR="00E90EAE">
        <w:rPr>
          <w:rFonts w:ascii="Calibri" w:hAnsi="Calibri"/>
          <w:sz w:val="24"/>
          <w:szCs w:val="24"/>
        </w:rPr>
        <w:t xml:space="preserve">Within the CSR a person's cervical cancer tests are linked to a single cervical screening record, providing a comprehensive picture of their cervical screening history. </w:t>
      </w:r>
      <w:r w:rsidR="008810BF">
        <w:rPr>
          <w:rFonts w:ascii="Calibri" w:hAnsi="Calibri"/>
          <w:sz w:val="24"/>
          <w:szCs w:val="24"/>
        </w:rPr>
        <w:t>Cervical</w:t>
      </w:r>
      <w:r w:rsidR="007F13EB">
        <w:rPr>
          <w:rFonts w:ascii="Calibri" w:hAnsi="Calibri"/>
          <w:sz w:val="24"/>
          <w:szCs w:val="24"/>
        </w:rPr>
        <w:t xml:space="preserve"> cancer</w:t>
      </w:r>
      <w:r w:rsidR="008810BF">
        <w:rPr>
          <w:rFonts w:ascii="Calibri" w:hAnsi="Calibri"/>
          <w:sz w:val="24"/>
          <w:szCs w:val="24"/>
        </w:rPr>
        <w:t xml:space="preserve"> tests collected include</w:t>
      </w:r>
      <w:r w:rsidR="00BD7627">
        <w:rPr>
          <w:rFonts w:ascii="Calibri" w:hAnsi="Calibri"/>
          <w:sz w:val="24"/>
          <w:szCs w:val="24"/>
        </w:rPr>
        <w:t xml:space="preserve"> </w:t>
      </w:r>
      <w:r w:rsidR="008810BF">
        <w:rPr>
          <w:rFonts w:ascii="Calibri" w:hAnsi="Calibri"/>
          <w:sz w:val="24"/>
          <w:szCs w:val="24"/>
        </w:rPr>
        <w:t>cytology tests (such as Pap tests), histology tests (</w:t>
      </w:r>
      <w:r w:rsidR="00AA148C">
        <w:rPr>
          <w:rFonts w:ascii="Calibri" w:hAnsi="Calibri"/>
          <w:sz w:val="24"/>
          <w:szCs w:val="24"/>
        </w:rPr>
        <w:t xml:space="preserve">such as </w:t>
      </w:r>
      <w:r w:rsidR="008810BF">
        <w:rPr>
          <w:rFonts w:ascii="Calibri" w:hAnsi="Calibri"/>
          <w:sz w:val="24"/>
          <w:szCs w:val="24"/>
        </w:rPr>
        <w:t>biopsy results</w:t>
      </w:r>
      <w:r w:rsidR="00AA148C">
        <w:rPr>
          <w:rFonts w:ascii="Calibri" w:hAnsi="Calibri"/>
          <w:sz w:val="24"/>
          <w:szCs w:val="24"/>
        </w:rPr>
        <w:t xml:space="preserve"> and the results of hysterectomies</w:t>
      </w:r>
      <w:r w:rsidR="008810BF">
        <w:rPr>
          <w:rFonts w:ascii="Calibri" w:hAnsi="Calibri"/>
          <w:sz w:val="24"/>
          <w:szCs w:val="24"/>
        </w:rPr>
        <w:t>), and hu</w:t>
      </w:r>
      <w:r w:rsidR="007A4F19">
        <w:rPr>
          <w:rFonts w:ascii="Calibri" w:hAnsi="Calibri"/>
          <w:sz w:val="24"/>
          <w:szCs w:val="24"/>
        </w:rPr>
        <w:t xml:space="preserve">man </w:t>
      </w:r>
      <w:proofErr w:type="spellStart"/>
      <w:r w:rsidR="007A4F19">
        <w:rPr>
          <w:rFonts w:ascii="Calibri" w:hAnsi="Calibri"/>
          <w:sz w:val="24"/>
          <w:szCs w:val="24"/>
        </w:rPr>
        <w:t>papilloma</w:t>
      </w:r>
      <w:proofErr w:type="spellEnd"/>
      <w:r w:rsidR="007A4F19">
        <w:rPr>
          <w:rFonts w:ascii="Calibri" w:hAnsi="Calibri"/>
          <w:sz w:val="24"/>
          <w:szCs w:val="24"/>
        </w:rPr>
        <w:t xml:space="preserve"> virus (HPV) tests</w:t>
      </w:r>
      <w:r w:rsidR="00EB7109">
        <w:rPr>
          <w:rFonts w:ascii="Calibri" w:hAnsi="Calibri"/>
          <w:sz w:val="24"/>
          <w:szCs w:val="24"/>
        </w:rPr>
        <w:t>.</w:t>
      </w:r>
      <w:r w:rsidR="00416A9C">
        <w:rPr>
          <w:rFonts w:ascii="Calibri" w:hAnsi="Calibri"/>
          <w:sz w:val="24"/>
          <w:szCs w:val="24"/>
        </w:rPr>
        <w:t xml:space="preserve"> Data on cervical cancer tests and histology tests are available</w:t>
      </w:r>
      <w:r w:rsidR="00EB7109">
        <w:rPr>
          <w:rFonts w:ascii="Calibri" w:hAnsi="Calibri"/>
          <w:sz w:val="24"/>
          <w:szCs w:val="24"/>
        </w:rPr>
        <w:t xml:space="preserve"> </w:t>
      </w:r>
      <w:r w:rsidR="00416A9C">
        <w:rPr>
          <w:rFonts w:ascii="Calibri" w:hAnsi="Calibri"/>
          <w:sz w:val="24"/>
          <w:szCs w:val="24"/>
        </w:rPr>
        <w:t xml:space="preserve">from 29 July 1996. Data on HPV tests are available from 2006. </w:t>
      </w:r>
    </w:p>
    <w:p w:rsidR="00A63330" w:rsidRDefault="008810BF" w:rsidP="00B019F2">
      <w:pPr>
        <w:spacing w:line="240" w:lineRule="auto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Colposcopy</w:t>
      </w:r>
      <w:proofErr w:type="spellEnd"/>
      <w:r>
        <w:rPr>
          <w:rFonts w:ascii="Calibri" w:hAnsi="Calibri"/>
          <w:sz w:val="24"/>
          <w:szCs w:val="24"/>
        </w:rPr>
        <w:t xml:space="preserve"> results</w:t>
      </w:r>
      <w:r w:rsidR="00A94A1C">
        <w:rPr>
          <w:rFonts w:ascii="Calibri" w:hAnsi="Calibri"/>
          <w:sz w:val="24"/>
          <w:szCs w:val="24"/>
        </w:rPr>
        <w:t xml:space="preserve"> </w:t>
      </w:r>
      <w:r w:rsidR="001F1664">
        <w:rPr>
          <w:rFonts w:ascii="Calibri" w:hAnsi="Calibri"/>
          <w:sz w:val="24"/>
          <w:szCs w:val="24"/>
        </w:rPr>
        <w:t xml:space="preserve">are not yet routinely reported to the </w:t>
      </w:r>
      <w:r w:rsidR="00C443B4">
        <w:rPr>
          <w:rFonts w:ascii="Calibri" w:hAnsi="Calibri"/>
          <w:sz w:val="24"/>
          <w:szCs w:val="24"/>
        </w:rPr>
        <w:t xml:space="preserve">CSR. </w:t>
      </w:r>
      <w:r w:rsidR="00356646">
        <w:rPr>
          <w:rFonts w:ascii="Calibri" w:hAnsi="Calibri"/>
          <w:sz w:val="24"/>
          <w:szCs w:val="24"/>
        </w:rPr>
        <w:t xml:space="preserve">The data does not include </w:t>
      </w:r>
      <w:r w:rsidR="007C3C35">
        <w:rPr>
          <w:rFonts w:ascii="Calibri" w:hAnsi="Calibri"/>
          <w:sz w:val="24"/>
          <w:szCs w:val="24"/>
        </w:rPr>
        <w:t>results for smears taken at</w:t>
      </w:r>
      <w:r w:rsidR="00356646">
        <w:rPr>
          <w:rFonts w:ascii="Calibri" w:hAnsi="Calibri"/>
          <w:sz w:val="24"/>
          <w:szCs w:val="24"/>
        </w:rPr>
        <w:t xml:space="preserve"> other gynaecological</w:t>
      </w:r>
      <w:r w:rsidR="007C3C35">
        <w:rPr>
          <w:rFonts w:ascii="Calibri" w:hAnsi="Calibri"/>
          <w:sz w:val="24"/>
          <w:szCs w:val="24"/>
        </w:rPr>
        <w:t xml:space="preserve"> sites</w:t>
      </w:r>
      <w:r w:rsidR="007B5639">
        <w:rPr>
          <w:rFonts w:ascii="Calibri" w:hAnsi="Calibri"/>
          <w:sz w:val="24"/>
          <w:szCs w:val="24"/>
        </w:rPr>
        <w:t xml:space="preserve"> (such as vault or vaginal smears</w:t>
      </w:r>
      <w:r w:rsidR="007C3C35">
        <w:rPr>
          <w:rFonts w:ascii="Calibri" w:hAnsi="Calibri"/>
          <w:sz w:val="24"/>
          <w:szCs w:val="24"/>
        </w:rPr>
        <w:t>)</w:t>
      </w:r>
      <w:r w:rsidR="00AA148C">
        <w:rPr>
          <w:rFonts w:ascii="Calibri" w:hAnsi="Calibri"/>
          <w:sz w:val="24"/>
          <w:szCs w:val="24"/>
        </w:rPr>
        <w:t>.</w:t>
      </w:r>
      <w:r w:rsidR="007C3C35">
        <w:rPr>
          <w:rFonts w:ascii="Calibri" w:hAnsi="Calibri"/>
          <w:sz w:val="24"/>
          <w:szCs w:val="24"/>
        </w:rPr>
        <w:t xml:space="preserve"> </w:t>
      </w:r>
      <w:r w:rsidR="00B9731D">
        <w:rPr>
          <w:rFonts w:ascii="Calibri" w:hAnsi="Calibri"/>
          <w:sz w:val="24"/>
          <w:szCs w:val="24"/>
        </w:rPr>
        <w:t>Some</w:t>
      </w:r>
      <w:r w:rsidR="00AA148C">
        <w:rPr>
          <w:rFonts w:ascii="Calibri" w:hAnsi="Calibri"/>
          <w:sz w:val="24"/>
          <w:szCs w:val="24"/>
        </w:rPr>
        <w:t xml:space="preserve"> coding of non-cervical sites (such as the uterus) may be included in the results of hysterectomies</w:t>
      </w:r>
      <w:r w:rsidR="00B9731D">
        <w:rPr>
          <w:rFonts w:ascii="Calibri" w:hAnsi="Calibri"/>
          <w:sz w:val="24"/>
          <w:szCs w:val="24"/>
        </w:rPr>
        <w:t>.</w:t>
      </w:r>
    </w:p>
    <w:p w:rsidR="007B5639" w:rsidRDefault="00F92F11" w:rsidP="007B5639">
      <w:pPr>
        <w:spacing w:line="240" w:lineRule="auto"/>
        <w:rPr>
          <w:rFonts w:ascii="Calibri" w:hAnsi="Calibri"/>
          <w:sz w:val="24"/>
          <w:szCs w:val="24"/>
        </w:rPr>
      </w:pPr>
      <w:r w:rsidRPr="00B019F2">
        <w:rPr>
          <w:rFonts w:ascii="Calibri" w:hAnsi="Calibri"/>
          <w:sz w:val="24"/>
          <w:szCs w:val="24"/>
        </w:rPr>
        <w:t xml:space="preserve">The </w:t>
      </w:r>
      <w:r w:rsidR="00C443B4">
        <w:rPr>
          <w:rFonts w:ascii="Calibri" w:hAnsi="Calibri"/>
          <w:sz w:val="24"/>
          <w:szCs w:val="24"/>
        </w:rPr>
        <w:t>CSR</w:t>
      </w:r>
      <w:r w:rsidR="00C443B4" w:rsidRPr="00B019F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collects</w:t>
      </w:r>
      <w:r w:rsidRPr="00B019F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cervical test </w:t>
      </w:r>
      <w:r w:rsidRPr="00B019F2">
        <w:rPr>
          <w:rFonts w:ascii="Calibri" w:hAnsi="Calibri"/>
          <w:sz w:val="24"/>
          <w:szCs w:val="24"/>
        </w:rPr>
        <w:t>data</w:t>
      </w:r>
      <w:r>
        <w:rPr>
          <w:rFonts w:ascii="Calibri" w:hAnsi="Calibri"/>
          <w:sz w:val="24"/>
          <w:szCs w:val="24"/>
        </w:rPr>
        <w:t xml:space="preserve"> for </w:t>
      </w:r>
      <w:r w:rsidR="00C443B4">
        <w:rPr>
          <w:rFonts w:ascii="Calibri" w:hAnsi="Calibri"/>
          <w:sz w:val="24"/>
          <w:szCs w:val="24"/>
        </w:rPr>
        <w:t xml:space="preserve">women </w:t>
      </w:r>
      <w:r>
        <w:rPr>
          <w:rFonts w:ascii="Calibri" w:hAnsi="Calibri"/>
          <w:sz w:val="24"/>
          <w:szCs w:val="24"/>
        </w:rPr>
        <w:t xml:space="preserve">residing in </w:t>
      </w:r>
      <w:r w:rsidR="00C443B4">
        <w:rPr>
          <w:rFonts w:ascii="Calibri" w:hAnsi="Calibri"/>
          <w:sz w:val="24"/>
          <w:szCs w:val="24"/>
        </w:rPr>
        <w:t>the ACT</w:t>
      </w:r>
      <w:r w:rsidR="00C443B4" w:rsidRPr="00B019F2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at the time of their test</w:t>
      </w:r>
      <w:r w:rsidR="008B2721">
        <w:rPr>
          <w:rFonts w:ascii="Calibri" w:hAnsi="Calibri"/>
          <w:sz w:val="24"/>
          <w:szCs w:val="24"/>
        </w:rPr>
        <w:t xml:space="preserve"> </w:t>
      </w:r>
      <w:r w:rsidRPr="00B019F2">
        <w:rPr>
          <w:rFonts w:ascii="Calibri" w:hAnsi="Calibri"/>
          <w:sz w:val="24"/>
          <w:szCs w:val="24"/>
        </w:rPr>
        <w:t xml:space="preserve">from pathological laboratories in </w:t>
      </w:r>
      <w:r w:rsidR="00C443B4">
        <w:rPr>
          <w:rFonts w:ascii="Calibri" w:hAnsi="Calibri"/>
          <w:sz w:val="24"/>
          <w:szCs w:val="24"/>
        </w:rPr>
        <w:t>the ACT</w:t>
      </w:r>
      <w:r w:rsidR="00C443B4" w:rsidRPr="00B019F2">
        <w:rPr>
          <w:rFonts w:ascii="Calibri" w:hAnsi="Calibri"/>
          <w:sz w:val="24"/>
          <w:szCs w:val="24"/>
        </w:rPr>
        <w:t xml:space="preserve"> </w:t>
      </w:r>
      <w:r w:rsidRPr="00B019F2">
        <w:rPr>
          <w:rFonts w:ascii="Calibri" w:hAnsi="Calibri"/>
          <w:sz w:val="24"/>
          <w:szCs w:val="24"/>
        </w:rPr>
        <w:t>and some interstate laboratories</w:t>
      </w:r>
      <w:r w:rsidR="00B9731D">
        <w:rPr>
          <w:rFonts w:ascii="Calibri" w:hAnsi="Calibri"/>
          <w:sz w:val="24"/>
          <w:szCs w:val="24"/>
        </w:rPr>
        <w:t>.</w:t>
      </w:r>
      <w:r w:rsidR="008E6D7C">
        <w:rPr>
          <w:rFonts w:ascii="Calibri" w:hAnsi="Calibri"/>
          <w:sz w:val="24"/>
          <w:szCs w:val="24"/>
        </w:rPr>
        <w:t xml:space="preserve"> </w:t>
      </w:r>
      <w:r w:rsidR="007B5639">
        <w:rPr>
          <w:rFonts w:ascii="Calibri" w:hAnsi="Calibri"/>
          <w:sz w:val="24"/>
          <w:szCs w:val="24"/>
        </w:rPr>
        <w:t>All laboratories carrying out cervical</w:t>
      </w:r>
      <w:r w:rsidR="007F13EB">
        <w:rPr>
          <w:rFonts w:ascii="Calibri" w:hAnsi="Calibri"/>
          <w:sz w:val="24"/>
          <w:szCs w:val="24"/>
        </w:rPr>
        <w:t xml:space="preserve"> cancer</w:t>
      </w:r>
      <w:r w:rsidR="007B563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pathology </w:t>
      </w:r>
      <w:r w:rsidR="007B5639">
        <w:rPr>
          <w:rFonts w:ascii="Calibri" w:hAnsi="Calibri"/>
          <w:sz w:val="24"/>
          <w:szCs w:val="24"/>
        </w:rPr>
        <w:t xml:space="preserve">testing in </w:t>
      </w:r>
      <w:r w:rsidR="00C443B4">
        <w:rPr>
          <w:rFonts w:ascii="Calibri" w:hAnsi="Calibri"/>
          <w:sz w:val="24"/>
          <w:szCs w:val="24"/>
        </w:rPr>
        <w:t xml:space="preserve">the ACT </w:t>
      </w:r>
      <w:r w:rsidR="007B5639">
        <w:rPr>
          <w:rFonts w:ascii="Calibri" w:hAnsi="Calibri"/>
          <w:sz w:val="24"/>
          <w:szCs w:val="24"/>
        </w:rPr>
        <w:t xml:space="preserve">are required to forward the results </w:t>
      </w:r>
      <w:r>
        <w:rPr>
          <w:rFonts w:ascii="Calibri" w:hAnsi="Calibri"/>
          <w:sz w:val="24"/>
          <w:szCs w:val="24"/>
        </w:rPr>
        <w:t xml:space="preserve">of tests </w:t>
      </w:r>
      <w:r w:rsidR="008E6D7C">
        <w:rPr>
          <w:rFonts w:ascii="Calibri" w:hAnsi="Calibri"/>
          <w:sz w:val="24"/>
          <w:szCs w:val="24"/>
        </w:rPr>
        <w:t xml:space="preserve">performed </w:t>
      </w:r>
      <w:r>
        <w:rPr>
          <w:rFonts w:ascii="Calibri" w:hAnsi="Calibri"/>
          <w:sz w:val="24"/>
          <w:szCs w:val="24"/>
        </w:rPr>
        <w:t xml:space="preserve">on NSW </w:t>
      </w:r>
      <w:r w:rsidR="00E06422">
        <w:rPr>
          <w:rFonts w:ascii="Calibri" w:hAnsi="Calibri"/>
          <w:sz w:val="24"/>
          <w:szCs w:val="24"/>
        </w:rPr>
        <w:t>women</w:t>
      </w:r>
      <w:r>
        <w:rPr>
          <w:rFonts w:ascii="Calibri" w:hAnsi="Calibri"/>
          <w:sz w:val="24"/>
          <w:szCs w:val="24"/>
        </w:rPr>
        <w:t xml:space="preserve"> </w:t>
      </w:r>
      <w:r w:rsidR="007B5639">
        <w:rPr>
          <w:rFonts w:ascii="Calibri" w:hAnsi="Calibri"/>
          <w:sz w:val="24"/>
          <w:szCs w:val="24"/>
        </w:rPr>
        <w:t>to the</w:t>
      </w:r>
      <w:r w:rsidR="00B9731D">
        <w:rPr>
          <w:rFonts w:ascii="Calibri" w:hAnsi="Calibri"/>
          <w:sz w:val="24"/>
          <w:szCs w:val="24"/>
        </w:rPr>
        <w:t xml:space="preserve"> CSR</w:t>
      </w:r>
      <w:r w:rsidR="007B5639">
        <w:rPr>
          <w:rFonts w:ascii="Calibri" w:hAnsi="Calibri"/>
          <w:sz w:val="24"/>
          <w:szCs w:val="24"/>
        </w:rPr>
        <w:t xml:space="preserve"> under the </w:t>
      </w:r>
      <w:r w:rsidR="00B9731D">
        <w:rPr>
          <w:rFonts w:ascii="Calibri" w:hAnsi="Calibri"/>
          <w:sz w:val="24"/>
          <w:szCs w:val="24"/>
        </w:rPr>
        <w:t>ACT</w:t>
      </w:r>
      <w:r w:rsidR="00B9731D" w:rsidRPr="00B019F2">
        <w:rPr>
          <w:rFonts w:ascii="Calibri" w:hAnsi="Calibri"/>
          <w:sz w:val="24"/>
          <w:szCs w:val="24"/>
        </w:rPr>
        <w:t xml:space="preserve"> Public Health</w:t>
      </w:r>
      <w:r w:rsidR="00B9731D">
        <w:rPr>
          <w:rFonts w:ascii="Calibri" w:hAnsi="Calibri"/>
          <w:sz w:val="24"/>
          <w:szCs w:val="24"/>
        </w:rPr>
        <w:t xml:space="preserve"> Regulations</w:t>
      </w:r>
      <w:r w:rsidR="00B9731D" w:rsidRPr="00B019F2">
        <w:rPr>
          <w:rFonts w:ascii="Calibri" w:hAnsi="Calibri"/>
          <w:sz w:val="24"/>
          <w:szCs w:val="24"/>
        </w:rPr>
        <w:t xml:space="preserve"> </w:t>
      </w:r>
      <w:r w:rsidR="00B9731D">
        <w:rPr>
          <w:rFonts w:ascii="Calibri" w:hAnsi="Calibri"/>
          <w:sz w:val="24"/>
          <w:szCs w:val="24"/>
        </w:rPr>
        <w:t>2000</w:t>
      </w:r>
      <w:r w:rsidR="00687B4B">
        <w:rPr>
          <w:rFonts w:ascii="Calibri" w:hAnsi="Calibri"/>
          <w:sz w:val="24"/>
          <w:szCs w:val="24"/>
        </w:rPr>
        <w:t xml:space="preserve"> </w:t>
      </w:r>
      <w:r w:rsidR="00B9731D">
        <w:rPr>
          <w:rFonts w:ascii="Calibri" w:hAnsi="Calibri"/>
          <w:sz w:val="24"/>
          <w:szCs w:val="24"/>
        </w:rPr>
        <w:t>(</w:t>
      </w:r>
      <w:r w:rsidR="00783445">
        <w:rPr>
          <w:rFonts w:ascii="Calibri" w:hAnsi="Calibri"/>
          <w:sz w:val="24"/>
          <w:szCs w:val="24"/>
        </w:rPr>
        <w:t>Section 3</w:t>
      </w:r>
      <w:r w:rsidR="00B9731D">
        <w:rPr>
          <w:rFonts w:ascii="Calibri" w:hAnsi="Calibri"/>
          <w:sz w:val="24"/>
          <w:szCs w:val="24"/>
        </w:rPr>
        <w:t>)</w:t>
      </w:r>
      <w:r w:rsidR="007B5639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 xml:space="preserve">Interstate laboratories may forward the data of </w:t>
      </w:r>
      <w:r w:rsidR="00C443B4">
        <w:rPr>
          <w:rFonts w:ascii="Calibri" w:hAnsi="Calibri"/>
          <w:sz w:val="24"/>
          <w:szCs w:val="24"/>
        </w:rPr>
        <w:t xml:space="preserve">ACT </w:t>
      </w:r>
      <w:r>
        <w:rPr>
          <w:rFonts w:ascii="Calibri" w:hAnsi="Calibri"/>
          <w:sz w:val="24"/>
          <w:szCs w:val="24"/>
        </w:rPr>
        <w:t xml:space="preserve">women to the </w:t>
      </w:r>
      <w:r w:rsidR="00C443B4">
        <w:rPr>
          <w:rFonts w:ascii="Calibri" w:hAnsi="Calibri"/>
          <w:sz w:val="24"/>
          <w:szCs w:val="24"/>
        </w:rPr>
        <w:t xml:space="preserve">CSR </w:t>
      </w:r>
      <w:r>
        <w:rPr>
          <w:rFonts w:ascii="Calibri" w:hAnsi="Calibri"/>
          <w:sz w:val="24"/>
          <w:szCs w:val="24"/>
        </w:rPr>
        <w:t>on a voluntary basis.</w:t>
      </w:r>
      <w:r w:rsidR="000E49D4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</w:t>
      </w:r>
    </w:p>
    <w:p w:rsidR="007B5639" w:rsidRDefault="007B5639" w:rsidP="00B019F2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Data collected by the </w:t>
      </w:r>
      <w:r w:rsidR="00C443B4">
        <w:rPr>
          <w:rFonts w:ascii="Calibri" w:hAnsi="Calibri"/>
          <w:sz w:val="24"/>
          <w:szCs w:val="24"/>
        </w:rPr>
        <w:t xml:space="preserve">CSR </w:t>
      </w:r>
      <w:r>
        <w:rPr>
          <w:rFonts w:ascii="Calibri" w:hAnsi="Calibri"/>
          <w:sz w:val="24"/>
          <w:szCs w:val="24"/>
        </w:rPr>
        <w:t>includes personal identifiers and demographic information, the date</w:t>
      </w:r>
      <w:r w:rsidR="00B9731D">
        <w:rPr>
          <w:rFonts w:ascii="Calibri" w:hAnsi="Calibri"/>
          <w:sz w:val="24"/>
          <w:szCs w:val="24"/>
        </w:rPr>
        <w:t xml:space="preserve"> and</w:t>
      </w:r>
      <w:r w:rsidR="002672F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result of any cervical</w:t>
      </w:r>
      <w:r w:rsidR="007F13EB">
        <w:rPr>
          <w:rFonts w:ascii="Calibri" w:hAnsi="Calibri"/>
          <w:sz w:val="24"/>
          <w:szCs w:val="24"/>
        </w:rPr>
        <w:t xml:space="preserve"> cancer</w:t>
      </w:r>
      <w:r>
        <w:rPr>
          <w:rFonts w:ascii="Calibri" w:hAnsi="Calibri"/>
          <w:sz w:val="24"/>
          <w:szCs w:val="24"/>
        </w:rPr>
        <w:t xml:space="preserve"> tests</w:t>
      </w:r>
      <w:r w:rsidR="00D66541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information about the provider </w:t>
      </w:r>
      <w:r w:rsidR="00B9731D">
        <w:rPr>
          <w:rFonts w:ascii="Calibri" w:hAnsi="Calibri"/>
          <w:sz w:val="24"/>
          <w:szCs w:val="24"/>
        </w:rPr>
        <w:t xml:space="preserve">performing </w:t>
      </w:r>
      <w:r>
        <w:rPr>
          <w:rFonts w:ascii="Calibri" w:hAnsi="Calibri"/>
          <w:sz w:val="24"/>
          <w:szCs w:val="24"/>
        </w:rPr>
        <w:t>the test</w:t>
      </w:r>
      <w:r w:rsidR="00B9731D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and information about the laboratory that processed it. Information is supplied electronically from </w:t>
      </w:r>
      <w:r w:rsidR="00B9731D">
        <w:rPr>
          <w:rFonts w:ascii="Calibri" w:hAnsi="Calibri"/>
          <w:sz w:val="24"/>
          <w:szCs w:val="24"/>
        </w:rPr>
        <w:t xml:space="preserve">pathology </w:t>
      </w:r>
      <w:r>
        <w:rPr>
          <w:rFonts w:ascii="Calibri" w:hAnsi="Calibri"/>
          <w:sz w:val="24"/>
          <w:szCs w:val="24"/>
        </w:rPr>
        <w:t>laboratories</w:t>
      </w:r>
      <w:r w:rsidR="00F92F11">
        <w:rPr>
          <w:rFonts w:ascii="Calibri" w:hAnsi="Calibri"/>
          <w:sz w:val="24"/>
          <w:szCs w:val="24"/>
        </w:rPr>
        <w:t xml:space="preserve"> typically within 30 days of the sample being processed</w:t>
      </w:r>
      <w:r>
        <w:rPr>
          <w:rFonts w:ascii="Calibri" w:hAnsi="Calibri"/>
          <w:sz w:val="24"/>
          <w:szCs w:val="24"/>
        </w:rPr>
        <w:t xml:space="preserve">. </w:t>
      </w:r>
    </w:p>
    <w:p w:rsidR="006A222B" w:rsidRDefault="00262297" w:rsidP="006A222B">
      <w:pPr>
        <w:spacing w:line="240" w:lineRule="auto"/>
        <w:rPr>
          <w:rFonts w:ascii="Corbel" w:hAnsi="Corbel"/>
          <w:b/>
          <w:color w:val="3E3E67"/>
          <w:sz w:val="28"/>
          <w:szCs w:val="28"/>
        </w:rPr>
      </w:pPr>
      <w:r>
        <w:rPr>
          <w:rFonts w:ascii="Calibri" w:hAnsi="Calibri"/>
          <w:sz w:val="24"/>
          <w:szCs w:val="24"/>
        </w:rPr>
        <w:lastRenderedPageBreak/>
        <w:t xml:space="preserve">The Register operates as an </w:t>
      </w:r>
      <w:r w:rsidR="002672FF">
        <w:rPr>
          <w:rFonts w:ascii="Calibri" w:hAnsi="Calibri"/>
          <w:sz w:val="24"/>
          <w:szCs w:val="24"/>
        </w:rPr>
        <w:t>‘</w:t>
      </w:r>
      <w:r>
        <w:rPr>
          <w:rFonts w:ascii="Calibri" w:hAnsi="Calibri"/>
          <w:sz w:val="24"/>
          <w:szCs w:val="24"/>
        </w:rPr>
        <w:t>opt-off</w:t>
      </w:r>
      <w:r w:rsidR="002672FF">
        <w:rPr>
          <w:rFonts w:ascii="Calibri" w:hAnsi="Calibri"/>
          <w:sz w:val="24"/>
          <w:szCs w:val="24"/>
        </w:rPr>
        <w:t>’</w:t>
      </w:r>
      <w:r>
        <w:rPr>
          <w:rFonts w:ascii="Calibri" w:hAnsi="Calibri"/>
          <w:sz w:val="24"/>
          <w:szCs w:val="24"/>
        </w:rPr>
        <w:t xml:space="preserve"> </w:t>
      </w:r>
      <w:r w:rsidR="00B9731D">
        <w:rPr>
          <w:rFonts w:ascii="Calibri" w:hAnsi="Calibri"/>
          <w:sz w:val="24"/>
          <w:szCs w:val="24"/>
        </w:rPr>
        <w:t xml:space="preserve">register; </w:t>
      </w:r>
      <w:r w:rsidR="002823E6">
        <w:rPr>
          <w:rFonts w:ascii="Calibri" w:hAnsi="Calibri"/>
          <w:sz w:val="24"/>
          <w:szCs w:val="24"/>
        </w:rPr>
        <w:t>that is</w:t>
      </w:r>
      <w:r w:rsidR="00D66541">
        <w:rPr>
          <w:rFonts w:ascii="Calibri" w:hAnsi="Calibri"/>
          <w:sz w:val="24"/>
          <w:szCs w:val="24"/>
        </w:rPr>
        <w:t>,</w:t>
      </w:r>
      <w:r w:rsidR="002823E6">
        <w:rPr>
          <w:rFonts w:ascii="Calibri" w:hAnsi="Calibri"/>
          <w:sz w:val="24"/>
          <w:szCs w:val="24"/>
        </w:rPr>
        <w:t xml:space="preserve"> all tests relating to cervical pathology will be included on the Register unless the </w:t>
      </w:r>
      <w:r w:rsidR="00B9731D">
        <w:rPr>
          <w:rFonts w:ascii="Calibri" w:hAnsi="Calibri"/>
          <w:sz w:val="24"/>
          <w:szCs w:val="24"/>
        </w:rPr>
        <w:t xml:space="preserve">woman </w:t>
      </w:r>
      <w:r w:rsidR="008B0C22" w:rsidRPr="00B019F2">
        <w:rPr>
          <w:rFonts w:ascii="Calibri" w:hAnsi="Calibri"/>
          <w:sz w:val="24"/>
          <w:szCs w:val="24"/>
        </w:rPr>
        <w:t xml:space="preserve">who has </w:t>
      </w:r>
      <w:r w:rsidR="008B0C22">
        <w:rPr>
          <w:rFonts w:ascii="Calibri" w:hAnsi="Calibri"/>
          <w:sz w:val="24"/>
          <w:szCs w:val="24"/>
        </w:rPr>
        <w:t>the</w:t>
      </w:r>
      <w:r w:rsidR="008B0C22" w:rsidRPr="00B019F2">
        <w:rPr>
          <w:rFonts w:ascii="Calibri" w:hAnsi="Calibri"/>
          <w:sz w:val="24"/>
          <w:szCs w:val="24"/>
        </w:rPr>
        <w:t xml:space="preserve"> test</w:t>
      </w:r>
      <w:r w:rsidR="002823E6">
        <w:rPr>
          <w:rFonts w:ascii="Calibri" w:hAnsi="Calibri"/>
          <w:sz w:val="24"/>
          <w:szCs w:val="24"/>
        </w:rPr>
        <w:t xml:space="preserve"> explicitly opts off</w:t>
      </w:r>
      <w:r>
        <w:rPr>
          <w:rFonts w:ascii="Calibri" w:hAnsi="Calibri"/>
          <w:sz w:val="24"/>
          <w:szCs w:val="24"/>
        </w:rPr>
        <w:t xml:space="preserve">. </w:t>
      </w:r>
      <w:r w:rsidRPr="00B019F2">
        <w:rPr>
          <w:rFonts w:ascii="Calibri" w:hAnsi="Calibri"/>
          <w:sz w:val="24"/>
          <w:szCs w:val="24"/>
        </w:rPr>
        <w:t xml:space="preserve">A </w:t>
      </w:r>
      <w:r w:rsidR="00E06422">
        <w:rPr>
          <w:rFonts w:ascii="Calibri" w:hAnsi="Calibri"/>
          <w:sz w:val="24"/>
          <w:szCs w:val="24"/>
        </w:rPr>
        <w:t>woman</w:t>
      </w:r>
      <w:r w:rsidR="00E90215" w:rsidRPr="00B019F2">
        <w:rPr>
          <w:rFonts w:ascii="Calibri" w:hAnsi="Calibri"/>
          <w:sz w:val="24"/>
          <w:szCs w:val="24"/>
        </w:rPr>
        <w:t xml:space="preserve"> </w:t>
      </w:r>
      <w:r w:rsidRPr="00B019F2">
        <w:rPr>
          <w:rFonts w:ascii="Calibri" w:hAnsi="Calibri"/>
          <w:sz w:val="24"/>
          <w:szCs w:val="24"/>
        </w:rPr>
        <w:t>who has a cervical</w:t>
      </w:r>
      <w:r w:rsidR="007F13EB">
        <w:rPr>
          <w:rFonts w:ascii="Calibri" w:hAnsi="Calibri"/>
          <w:sz w:val="24"/>
          <w:szCs w:val="24"/>
        </w:rPr>
        <w:t xml:space="preserve"> cancer</w:t>
      </w:r>
      <w:r w:rsidRPr="00B019F2">
        <w:rPr>
          <w:rFonts w:ascii="Calibri" w:hAnsi="Calibri"/>
          <w:sz w:val="24"/>
          <w:szCs w:val="24"/>
        </w:rPr>
        <w:t xml:space="preserve"> test may elect to have </w:t>
      </w:r>
      <w:r w:rsidR="00E90215">
        <w:rPr>
          <w:rFonts w:ascii="Calibri" w:hAnsi="Calibri"/>
          <w:sz w:val="24"/>
          <w:szCs w:val="24"/>
        </w:rPr>
        <w:t>t</w:t>
      </w:r>
      <w:r w:rsidRPr="00B019F2">
        <w:rPr>
          <w:rFonts w:ascii="Calibri" w:hAnsi="Calibri"/>
          <w:sz w:val="24"/>
          <w:szCs w:val="24"/>
        </w:rPr>
        <w:t>he</w:t>
      </w:r>
      <w:r w:rsidR="00E90215">
        <w:rPr>
          <w:rFonts w:ascii="Calibri" w:hAnsi="Calibri"/>
          <w:sz w:val="24"/>
          <w:szCs w:val="24"/>
        </w:rPr>
        <w:t>i</w:t>
      </w:r>
      <w:r w:rsidRPr="00B019F2">
        <w:rPr>
          <w:rFonts w:ascii="Calibri" w:hAnsi="Calibri"/>
          <w:sz w:val="24"/>
          <w:szCs w:val="24"/>
        </w:rPr>
        <w:t xml:space="preserve">r identifying particulars withheld from the </w:t>
      </w:r>
      <w:r w:rsidR="00B9731D">
        <w:rPr>
          <w:rFonts w:ascii="Calibri" w:hAnsi="Calibri"/>
          <w:sz w:val="24"/>
          <w:szCs w:val="24"/>
        </w:rPr>
        <w:t xml:space="preserve">CSR </w:t>
      </w:r>
      <w:r>
        <w:rPr>
          <w:rFonts w:ascii="Calibri" w:hAnsi="Calibri"/>
          <w:sz w:val="24"/>
          <w:szCs w:val="24"/>
        </w:rPr>
        <w:t xml:space="preserve">at the time of the test, or may withdraw </w:t>
      </w:r>
      <w:r w:rsidR="00E90215">
        <w:rPr>
          <w:rFonts w:ascii="Calibri" w:hAnsi="Calibri"/>
          <w:sz w:val="24"/>
          <w:szCs w:val="24"/>
        </w:rPr>
        <w:t>t</w:t>
      </w:r>
      <w:r>
        <w:rPr>
          <w:rFonts w:ascii="Calibri" w:hAnsi="Calibri"/>
          <w:sz w:val="24"/>
          <w:szCs w:val="24"/>
        </w:rPr>
        <w:t>he</w:t>
      </w:r>
      <w:r w:rsidR="00E90215">
        <w:rPr>
          <w:rFonts w:ascii="Calibri" w:hAnsi="Calibri"/>
          <w:sz w:val="24"/>
          <w:szCs w:val="24"/>
        </w:rPr>
        <w:t>i</w:t>
      </w:r>
      <w:r>
        <w:rPr>
          <w:rFonts w:ascii="Calibri" w:hAnsi="Calibri"/>
          <w:sz w:val="24"/>
          <w:szCs w:val="24"/>
        </w:rPr>
        <w:t>r details from the Register at a later time.</w:t>
      </w:r>
      <w:r w:rsidRPr="00B019F2">
        <w:rPr>
          <w:rFonts w:ascii="Calibri" w:hAnsi="Calibri"/>
          <w:sz w:val="24"/>
          <w:szCs w:val="24"/>
        </w:rPr>
        <w:t xml:space="preserve"> </w:t>
      </w:r>
      <w:r w:rsidR="008B0C22">
        <w:rPr>
          <w:rFonts w:ascii="Calibri" w:hAnsi="Calibri"/>
          <w:sz w:val="24"/>
          <w:szCs w:val="24"/>
        </w:rPr>
        <w:t>In this situation</w:t>
      </w:r>
      <w:r w:rsidR="00CE6981">
        <w:rPr>
          <w:rFonts w:ascii="Calibri" w:hAnsi="Calibri"/>
          <w:sz w:val="24"/>
          <w:szCs w:val="24"/>
        </w:rPr>
        <w:t>, the</w:t>
      </w:r>
      <w:r w:rsidR="00CE2F2A">
        <w:rPr>
          <w:rFonts w:ascii="Calibri" w:hAnsi="Calibri"/>
          <w:sz w:val="24"/>
          <w:szCs w:val="24"/>
        </w:rPr>
        <w:t xml:space="preserve"> </w:t>
      </w:r>
      <w:r w:rsidR="002672FF">
        <w:rPr>
          <w:rFonts w:ascii="Calibri" w:hAnsi="Calibri"/>
          <w:sz w:val="24"/>
          <w:szCs w:val="24"/>
        </w:rPr>
        <w:t xml:space="preserve">woman's </w:t>
      </w:r>
      <w:r w:rsidR="00CE6981">
        <w:rPr>
          <w:rFonts w:ascii="Calibri" w:hAnsi="Calibri"/>
          <w:sz w:val="24"/>
          <w:szCs w:val="24"/>
        </w:rPr>
        <w:t xml:space="preserve">test results are retained on the Register but all identifying information is </w:t>
      </w:r>
      <w:r w:rsidR="00B9731D">
        <w:rPr>
          <w:rFonts w:ascii="Calibri" w:hAnsi="Calibri"/>
          <w:sz w:val="24"/>
          <w:szCs w:val="24"/>
        </w:rPr>
        <w:t>removed</w:t>
      </w:r>
      <w:r w:rsidR="00CE6981">
        <w:rPr>
          <w:rFonts w:ascii="Calibri" w:hAnsi="Calibri"/>
          <w:sz w:val="24"/>
          <w:szCs w:val="24"/>
        </w:rPr>
        <w:t xml:space="preserve">, so that no tests </w:t>
      </w:r>
      <w:r w:rsidR="00B9731D">
        <w:rPr>
          <w:rFonts w:ascii="Calibri" w:hAnsi="Calibri"/>
          <w:sz w:val="24"/>
          <w:szCs w:val="24"/>
        </w:rPr>
        <w:t>can</w:t>
      </w:r>
      <w:r w:rsidR="00CE6981">
        <w:rPr>
          <w:rFonts w:ascii="Calibri" w:hAnsi="Calibri"/>
          <w:sz w:val="24"/>
          <w:szCs w:val="24"/>
        </w:rPr>
        <w:t xml:space="preserve"> be linked to the </w:t>
      </w:r>
      <w:r w:rsidR="00B9731D">
        <w:rPr>
          <w:rFonts w:ascii="Calibri" w:hAnsi="Calibri"/>
          <w:sz w:val="24"/>
          <w:szCs w:val="24"/>
        </w:rPr>
        <w:t xml:space="preserve">woman or </w:t>
      </w:r>
      <w:r w:rsidR="00CE6981">
        <w:rPr>
          <w:rFonts w:ascii="Calibri" w:hAnsi="Calibri"/>
          <w:sz w:val="24"/>
          <w:szCs w:val="24"/>
        </w:rPr>
        <w:t>to each other.</w:t>
      </w:r>
      <w:r w:rsidR="008B0C22">
        <w:rPr>
          <w:rFonts w:ascii="Calibri" w:hAnsi="Calibri"/>
          <w:sz w:val="24"/>
          <w:szCs w:val="24"/>
        </w:rPr>
        <w:t xml:space="preserve"> </w:t>
      </w:r>
    </w:p>
    <w:p w:rsidR="00D7230B" w:rsidRDefault="00D7230B" w:rsidP="006A222B">
      <w:pPr>
        <w:spacing w:line="240" w:lineRule="auto"/>
        <w:rPr>
          <w:rFonts w:ascii="Corbel" w:hAnsi="Corbel"/>
          <w:b/>
          <w:color w:val="3E3E67"/>
          <w:sz w:val="28"/>
          <w:szCs w:val="28"/>
        </w:rPr>
      </w:pPr>
    </w:p>
    <w:p w:rsidR="006A222B" w:rsidRDefault="006A222B" w:rsidP="000669A2">
      <w:pPr>
        <w:pStyle w:val="Heading1"/>
      </w:pPr>
      <w:r>
        <w:t xml:space="preserve">Quality </w:t>
      </w:r>
    </w:p>
    <w:p w:rsidR="006A222B" w:rsidRDefault="006A222B" w:rsidP="006A222B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Routine data quality control measures conducted</w:t>
      </w:r>
      <w:r w:rsidR="0072157E">
        <w:rPr>
          <w:rFonts w:ascii="Calibri" w:hAnsi="Calibri"/>
          <w:sz w:val="24"/>
          <w:szCs w:val="24"/>
        </w:rPr>
        <w:t xml:space="preserve"> by the CSP</w:t>
      </w:r>
      <w:r>
        <w:rPr>
          <w:rFonts w:ascii="Calibri" w:hAnsi="Calibri"/>
          <w:sz w:val="24"/>
          <w:szCs w:val="24"/>
        </w:rPr>
        <w:t xml:space="preserve"> include: </w:t>
      </w:r>
      <w:r w:rsidR="004C15DB">
        <w:rPr>
          <w:rFonts w:ascii="Calibri" w:hAnsi="Calibri"/>
          <w:sz w:val="24"/>
          <w:szCs w:val="24"/>
        </w:rPr>
        <w:t>monitoring data transmission rates to ensure that all cervical</w:t>
      </w:r>
      <w:r w:rsidR="007F13EB">
        <w:rPr>
          <w:rFonts w:ascii="Calibri" w:hAnsi="Calibri"/>
          <w:sz w:val="24"/>
          <w:szCs w:val="24"/>
        </w:rPr>
        <w:t xml:space="preserve"> cancer</w:t>
      </w:r>
      <w:r w:rsidR="004C15DB">
        <w:rPr>
          <w:rFonts w:ascii="Calibri" w:hAnsi="Calibri"/>
          <w:sz w:val="24"/>
          <w:szCs w:val="24"/>
        </w:rPr>
        <w:t xml:space="preserve"> tests are received by the Register from laboratories, data matching validation checks and cross checks of data items,</w:t>
      </w:r>
      <w:r w:rsidR="00F108F2">
        <w:rPr>
          <w:rFonts w:ascii="Calibri" w:hAnsi="Calibri"/>
          <w:sz w:val="24"/>
          <w:szCs w:val="24"/>
        </w:rPr>
        <w:t xml:space="preserve"> identity verification using </w:t>
      </w:r>
      <w:r w:rsidR="00B05237">
        <w:rPr>
          <w:rFonts w:ascii="Calibri" w:hAnsi="Calibri"/>
          <w:sz w:val="24"/>
          <w:szCs w:val="24"/>
        </w:rPr>
        <w:t xml:space="preserve">ACT Health </w:t>
      </w:r>
      <w:r w:rsidR="00843E99">
        <w:rPr>
          <w:rFonts w:ascii="Calibri" w:hAnsi="Calibri"/>
          <w:sz w:val="24"/>
          <w:szCs w:val="24"/>
        </w:rPr>
        <w:t>Patient Administration System (</w:t>
      </w:r>
      <w:r w:rsidR="00B05237">
        <w:rPr>
          <w:rFonts w:ascii="Calibri" w:hAnsi="Calibri"/>
          <w:sz w:val="24"/>
          <w:szCs w:val="24"/>
        </w:rPr>
        <w:t>CTPAS</w:t>
      </w:r>
      <w:r w:rsidR="00843E99">
        <w:rPr>
          <w:rFonts w:ascii="Calibri" w:hAnsi="Calibri"/>
          <w:sz w:val="24"/>
          <w:szCs w:val="24"/>
        </w:rPr>
        <w:t>)</w:t>
      </w:r>
      <w:r w:rsidR="00F108F2">
        <w:rPr>
          <w:rFonts w:ascii="Calibri" w:hAnsi="Calibri"/>
          <w:sz w:val="24"/>
          <w:szCs w:val="24"/>
        </w:rPr>
        <w:t>,</w:t>
      </w:r>
      <w:r w:rsidR="004C15DB">
        <w:rPr>
          <w:rFonts w:ascii="Calibri" w:hAnsi="Calibri"/>
          <w:sz w:val="24"/>
          <w:szCs w:val="24"/>
        </w:rPr>
        <w:t xml:space="preserve"> regular checks of </w:t>
      </w:r>
      <w:r w:rsidR="00F108F2">
        <w:rPr>
          <w:rFonts w:ascii="Calibri" w:hAnsi="Calibri"/>
          <w:sz w:val="24"/>
          <w:szCs w:val="24"/>
        </w:rPr>
        <w:t xml:space="preserve">result </w:t>
      </w:r>
      <w:r w:rsidR="004C15DB">
        <w:rPr>
          <w:rFonts w:ascii="Calibri" w:hAnsi="Calibri"/>
          <w:sz w:val="24"/>
          <w:szCs w:val="24"/>
        </w:rPr>
        <w:t>coding accuracy and reliability</w:t>
      </w:r>
      <w:r w:rsidR="00D7230B">
        <w:rPr>
          <w:rFonts w:ascii="Calibri" w:hAnsi="Calibri"/>
          <w:sz w:val="24"/>
          <w:szCs w:val="24"/>
        </w:rPr>
        <w:t xml:space="preserve"> using the text of pathology reports</w:t>
      </w:r>
      <w:r w:rsidR="004C15DB">
        <w:rPr>
          <w:rFonts w:ascii="Calibri" w:hAnsi="Calibri"/>
          <w:sz w:val="24"/>
          <w:szCs w:val="24"/>
        </w:rPr>
        <w:t>, reconciliation of information from multiple sources, examination of multiple registrations, collaboration with test providers, pathologists and other medical experts, and the use of NHMRC</w:t>
      </w:r>
      <w:r w:rsidR="008868EC">
        <w:rPr>
          <w:rFonts w:ascii="Calibri" w:hAnsi="Calibri"/>
          <w:sz w:val="24"/>
          <w:szCs w:val="24"/>
        </w:rPr>
        <w:t xml:space="preserve"> coding conventions</w:t>
      </w:r>
      <w:r w:rsidRPr="00B019F2">
        <w:rPr>
          <w:rFonts w:ascii="Calibri" w:hAnsi="Calibri"/>
          <w:sz w:val="24"/>
          <w:szCs w:val="24"/>
        </w:rPr>
        <w:t>.</w:t>
      </w:r>
      <w:r w:rsidR="00F108F2">
        <w:rPr>
          <w:rFonts w:ascii="Calibri" w:hAnsi="Calibri"/>
          <w:sz w:val="24"/>
          <w:szCs w:val="24"/>
        </w:rPr>
        <w:t xml:space="preserve"> </w:t>
      </w:r>
    </w:p>
    <w:p w:rsidR="00DC1DB8" w:rsidRDefault="00AC3CFE" w:rsidP="006A222B">
      <w:pPr>
        <w:spacing w:line="240" w:lineRule="auto"/>
        <w:rPr>
          <w:rFonts w:ascii="Corbel" w:hAnsi="Corbel"/>
          <w:b/>
          <w:color w:val="3E3E67"/>
          <w:sz w:val="28"/>
          <w:szCs w:val="28"/>
        </w:rPr>
      </w:pPr>
      <w:r>
        <w:rPr>
          <w:rFonts w:ascii="Calibri" w:hAnsi="Calibri"/>
          <w:sz w:val="24"/>
          <w:szCs w:val="24"/>
        </w:rPr>
        <w:t xml:space="preserve"> </w:t>
      </w:r>
    </w:p>
    <w:p w:rsidR="008106D1" w:rsidRDefault="00B05237" w:rsidP="000669A2">
      <w:pPr>
        <w:pStyle w:val="Heading1"/>
        <w:rPr>
          <w:rFonts w:ascii="Calibri" w:hAnsi="Calibri"/>
          <w:sz w:val="24"/>
          <w:szCs w:val="24"/>
        </w:rPr>
      </w:pPr>
      <w:r>
        <w:t xml:space="preserve">ACT Cervical Screening </w:t>
      </w:r>
      <w:r w:rsidR="008106D1">
        <w:t xml:space="preserve">Register </w:t>
      </w:r>
      <w:r w:rsidR="008B4015">
        <w:t>D</w:t>
      </w:r>
      <w:r w:rsidR="008106D1">
        <w:t>ata</w:t>
      </w:r>
      <w:r w:rsidR="008B4015">
        <w:t xml:space="preserve"> Linkage </w:t>
      </w:r>
    </w:p>
    <w:p w:rsidR="00470082" w:rsidRDefault="00470082" w:rsidP="00470082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Data held by the</w:t>
      </w:r>
      <w:r w:rsidR="003907EC">
        <w:rPr>
          <w:rFonts w:ascii="Calibri" w:hAnsi="Calibri"/>
          <w:sz w:val="24"/>
          <w:szCs w:val="24"/>
        </w:rPr>
        <w:t xml:space="preserve"> </w:t>
      </w:r>
      <w:r w:rsidR="00B05237">
        <w:rPr>
          <w:rFonts w:ascii="Calibri" w:hAnsi="Calibri"/>
          <w:sz w:val="24"/>
          <w:szCs w:val="24"/>
        </w:rPr>
        <w:t>ACT Cervical Screening</w:t>
      </w:r>
      <w:r>
        <w:rPr>
          <w:rFonts w:ascii="Calibri" w:hAnsi="Calibri"/>
          <w:sz w:val="24"/>
          <w:szCs w:val="24"/>
        </w:rPr>
        <w:t xml:space="preserve"> Register contains</w:t>
      </w:r>
      <w:r w:rsidR="00C64DCD">
        <w:rPr>
          <w:rFonts w:ascii="Calibri" w:hAnsi="Calibri"/>
          <w:sz w:val="24"/>
          <w:szCs w:val="24"/>
        </w:rPr>
        <w:t xml:space="preserve"> the full cervical screening histories of </w:t>
      </w:r>
      <w:r w:rsidR="00687B4B">
        <w:rPr>
          <w:rFonts w:ascii="Calibri" w:hAnsi="Calibri"/>
          <w:sz w:val="24"/>
          <w:szCs w:val="24"/>
        </w:rPr>
        <w:t>women</w:t>
      </w:r>
      <w:r w:rsidR="0012291D">
        <w:rPr>
          <w:rFonts w:ascii="Calibri" w:hAnsi="Calibri"/>
          <w:sz w:val="24"/>
          <w:szCs w:val="24"/>
        </w:rPr>
        <w:t xml:space="preserve"> </w:t>
      </w:r>
      <w:r w:rsidR="00C64DCD">
        <w:rPr>
          <w:rFonts w:ascii="Calibri" w:hAnsi="Calibri"/>
          <w:sz w:val="24"/>
          <w:szCs w:val="24"/>
        </w:rPr>
        <w:t xml:space="preserve">who have consented to be on the Register. Each </w:t>
      </w:r>
      <w:r w:rsidR="00687B4B">
        <w:rPr>
          <w:rFonts w:ascii="Calibri" w:hAnsi="Calibri"/>
          <w:sz w:val="24"/>
          <w:szCs w:val="24"/>
        </w:rPr>
        <w:t>person</w:t>
      </w:r>
      <w:r w:rsidR="0012291D">
        <w:rPr>
          <w:rFonts w:ascii="Calibri" w:hAnsi="Calibri"/>
          <w:sz w:val="24"/>
          <w:szCs w:val="24"/>
        </w:rPr>
        <w:t xml:space="preserve">'s </w:t>
      </w:r>
      <w:r w:rsidR="00C64DCD">
        <w:rPr>
          <w:rFonts w:ascii="Calibri" w:hAnsi="Calibri"/>
          <w:sz w:val="24"/>
          <w:szCs w:val="24"/>
        </w:rPr>
        <w:t>record contains</w:t>
      </w:r>
      <w:r>
        <w:rPr>
          <w:rFonts w:ascii="Calibri" w:hAnsi="Calibri"/>
          <w:sz w:val="24"/>
          <w:szCs w:val="24"/>
        </w:rPr>
        <w:t xml:space="preserve"> full personal identifiers</w:t>
      </w:r>
      <w:r w:rsidR="00C64DCD">
        <w:rPr>
          <w:rFonts w:ascii="Calibri" w:hAnsi="Calibri"/>
          <w:sz w:val="24"/>
          <w:szCs w:val="24"/>
        </w:rPr>
        <w:t xml:space="preserve"> at the time of the most recent cervical</w:t>
      </w:r>
      <w:r w:rsidR="007F13EB">
        <w:rPr>
          <w:rFonts w:ascii="Calibri" w:hAnsi="Calibri"/>
          <w:sz w:val="24"/>
          <w:szCs w:val="24"/>
        </w:rPr>
        <w:t xml:space="preserve"> cancer</w:t>
      </w:r>
      <w:r w:rsidR="00C64DCD">
        <w:rPr>
          <w:rFonts w:ascii="Calibri" w:hAnsi="Calibri"/>
          <w:sz w:val="24"/>
          <w:szCs w:val="24"/>
        </w:rPr>
        <w:t xml:space="preserve"> test</w:t>
      </w:r>
      <w:r>
        <w:rPr>
          <w:rFonts w:ascii="Calibri" w:hAnsi="Calibri"/>
          <w:sz w:val="24"/>
          <w:szCs w:val="24"/>
        </w:rPr>
        <w:t xml:space="preserve">, </w:t>
      </w:r>
      <w:r w:rsidR="00E90215">
        <w:rPr>
          <w:rFonts w:ascii="Calibri" w:hAnsi="Calibri"/>
          <w:sz w:val="24"/>
          <w:szCs w:val="24"/>
        </w:rPr>
        <w:t>t</w:t>
      </w:r>
      <w:r w:rsidR="00C64DCD">
        <w:rPr>
          <w:rFonts w:ascii="Calibri" w:hAnsi="Calibri"/>
          <w:sz w:val="24"/>
          <w:szCs w:val="24"/>
        </w:rPr>
        <w:t>he</w:t>
      </w:r>
      <w:r w:rsidR="00E90215">
        <w:rPr>
          <w:rFonts w:ascii="Calibri" w:hAnsi="Calibri"/>
          <w:sz w:val="24"/>
          <w:szCs w:val="24"/>
        </w:rPr>
        <w:t>i</w:t>
      </w:r>
      <w:r w:rsidR="00C64DCD">
        <w:rPr>
          <w:rFonts w:ascii="Calibri" w:hAnsi="Calibri"/>
          <w:sz w:val="24"/>
          <w:szCs w:val="24"/>
        </w:rPr>
        <w:t xml:space="preserve">r identifiers at the time of previous tests, </w:t>
      </w:r>
      <w:r>
        <w:rPr>
          <w:rFonts w:ascii="Calibri" w:hAnsi="Calibri"/>
          <w:sz w:val="24"/>
          <w:szCs w:val="24"/>
        </w:rPr>
        <w:t>as well as the re</w:t>
      </w:r>
      <w:r w:rsidR="00C64DCD">
        <w:rPr>
          <w:rFonts w:ascii="Calibri" w:hAnsi="Calibri"/>
          <w:sz w:val="24"/>
          <w:szCs w:val="24"/>
        </w:rPr>
        <w:t>sults</w:t>
      </w:r>
      <w:r>
        <w:rPr>
          <w:rFonts w:ascii="Calibri" w:hAnsi="Calibri"/>
          <w:sz w:val="24"/>
          <w:szCs w:val="24"/>
        </w:rPr>
        <w:t xml:space="preserve"> of any cervical </w:t>
      </w:r>
      <w:r w:rsidR="007F13EB">
        <w:rPr>
          <w:rFonts w:ascii="Calibri" w:hAnsi="Calibri"/>
          <w:sz w:val="24"/>
          <w:szCs w:val="24"/>
        </w:rPr>
        <w:t xml:space="preserve">cancer </w:t>
      </w:r>
      <w:r>
        <w:rPr>
          <w:rFonts w:ascii="Calibri" w:hAnsi="Calibri"/>
          <w:sz w:val="24"/>
          <w:szCs w:val="24"/>
        </w:rPr>
        <w:t xml:space="preserve">test for that </w:t>
      </w:r>
      <w:r w:rsidR="00E90215">
        <w:rPr>
          <w:rFonts w:ascii="Calibri" w:hAnsi="Calibri"/>
          <w:sz w:val="24"/>
          <w:szCs w:val="24"/>
        </w:rPr>
        <w:t>individual</w:t>
      </w:r>
      <w:r>
        <w:rPr>
          <w:rFonts w:ascii="Calibri" w:hAnsi="Calibri"/>
          <w:sz w:val="24"/>
          <w:szCs w:val="24"/>
        </w:rPr>
        <w:t xml:space="preserve">. </w:t>
      </w:r>
      <w:r w:rsidR="00E374EB">
        <w:rPr>
          <w:rFonts w:ascii="Calibri" w:hAnsi="Calibri"/>
          <w:sz w:val="24"/>
          <w:szCs w:val="24"/>
        </w:rPr>
        <w:t xml:space="preserve">De-identified tests cannot be linked to any </w:t>
      </w:r>
      <w:r w:rsidR="00E90215">
        <w:rPr>
          <w:rFonts w:ascii="Calibri" w:hAnsi="Calibri"/>
          <w:sz w:val="24"/>
          <w:szCs w:val="24"/>
        </w:rPr>
        <w:t xml:space="preserve">individual </w:t>
      </w:r>
      <w:r w:rsidR="00E374EB">
        <w:rPr>
          <w:rFonts w:ascii="Calibri" w:hAnsi="Calibri"/>
          <w:sz w:val="24"/>
          <w:szCs w:val="24"/>
        </w:rPr>
        <w:t>or</w:t>
      </w:r>
      <w:r w:rsidR="00E90215">
        <w:rPr>
          <w:rFonts w:ascii="Calibri" w:hAnsi="Calibri"/>
          <w:sz w:val="24"/>
          <w:szCs w:val="24"/>
        </w:rPr>
        <w:t xml:space="preserve"> to</w:t>
      </w:r>
      <w:r w:rsidR="00E374EB">
        <w:rPr>
          <w:rFonts w:ascii="Calibri" w:hAnsi="Calibri"/>
          <w:sz w:val="24"/>
          <w:szCs w:val="24"/>
        </w:rPr>
        <w:t xml:space="preserve"> </w:t>
      </w:r>
      <w:r w:rsidR="00E90215">
        <w:rPr>
          <w:rFonts w:ascii="Calibri" w:hAnsi="Calibri"/>
          <w:sz w:val="24"/>
          <w:szCs w:val="24"/>
        </w:rPr>
        <w:t xml:space="preserve">any </w:t>
      </w:r>
      <w:r w:rsidR="00E374EB">
        <w:rPr>
          <w:rFonts w:ascii="Calibri" w:hAnsi="Calibri"/>
          <w:sz w:val="24"/>
          <w:szCs w:val="24"/>
        </w:rPr>
        <w:t>other tests.</w:t>
      </w:r>
    </w:p>
    <w:p w:rsidR="00470082" w:rsidRDefault="00E374EB" w:rsidP="00470082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CHeReL links </w:t>
      </w:r>
      <w:r w:rsidR="00B05237">
        <w:rPr>
          <w:rFonts w:ascii="Calibri" w:hAnsi="Calibri"/>
          <w:sz w:val="24"/>
          <w:szCs w:val="24"/>
        </w:rPr>
        <w:t xml:space="preserve">CSR </w:t>
      </w:r>
      <w:r>
        <w:rPr>
          <w:rFonts w:ascii="Calibri" w:hAnsi="Calibri"/>
          <w:sz w:val="24"/>
          <w:szCs w:val="24"/>
        </w:rPr>
        <w:t>records to create a</w:t>
      </w:r>
      <w:r w:rsidR="002208FC">
        <w:rPr>
          <w:rFonts w:ascii="Calibri" w:hAnsi="Calibri"/>
          <w:sz w:val="24"/>
          <w:szCs w:val="24"/>
        </w:rPr>
        <w:t>n</w:t>
      </w:r>
      <w:r>
        <w:rPr>
          <w:rFonts w:ascii="Calibri" w:hAnsi="Calibri"/>
          <w:sz w:val="24"/>
          <w:szCs w:val="24"/>
        </w:rPr>
        <w:t xml:space="preserve"> ID number for each </w:t>
      </w:r>
      <w:r w:rsidR="0006661E">
        <w:rPr>
          <w:rFonts w:ascii="Calibri" w:hAnsi="Calibri"/>
          <w:sz w:val="24"/>
          <w:szCs w:val="24"/>
        </w:rPr>
        <w:t>person</w:t>
      </w:r>
      <w:r>
        <w:rPr>
          <w:rFonts w:ascii="Calibri" w:hAnsi="Calibri"/>
          <w:sz w:val="24"/>
          <w:szCs w:val="24"/>
        </w:rPr>
        <w:t xml:space="preserve">. Data for each </w:t>
      </w:r>
      <w:r w:rsidR="0006661E">
        <w:rPr>
          <w:rFonts w:ascii="Calibri" w:hAnsi="Calibri"/>
          <w:sz w:val="24"/>
          <w:szCs w:val="24"/>
        </w:rPr>
        <w:t xml:space="preserve">person </w:t>
      </w:r>
      <w:r>
        <w:rPr>
          <w:rFonts w:ascii="Calibri" w:hAnsi="Calibri"/>
          <w:sz w:val="24"/>
          <w:szCs w:val="24"/>
        </w:rPr>
        <w:t xml:space="preserve">can be linked to any external (with sufficient identifiers) or Master Linkage Key data collection, with the corresponding ID attached. </w:t>
      </w:r>
      <w:r w:rsidR="00470082">
        <w:rPr>
          <w:rFonts w:ascii="Calibri" w:hAnsi="Calibri"/>
          <w:sz w:val="24"/>
          <w:szCs w:val="24"/>
        </w:rPr>
        <w:t xml:space="preserve">This gives researchers the opportunity to </w:t>
      </w:r>
      <w:r w:rsidR="00F161ED">
        <w:rPr>
          <w:rFonts w:ascii="Calibri" w:hAnsi="Calibri"/>
          <w:sz w:val="24"/>
          <w:szCs w:val="24"/>
        </w:rPr>
        <w:t>investigate</w:t>
      </w:r>
      <w:r w:rsidR="00470082">
        <w:rPr>
          <w:rFonts w:ascii="Calibri" w:hAnsi="Calibri"/>
          <w:sz w:val="24"/>
          <w:szCs w:val="24"/>
        </w:rPr>
        <w:t xml:space="preserve"> outcomes in relation to </w:t>
      </w:r>
      <w:r w:rsidR="0006661E">
        <w:rPr>
          <w:rFonts w:ascii="Calibri" w:hAnsi="Calibri"/>
          <w:sz w:val="24"/>
          <w:szCs w:val="24"/>
        </w:rPr>
        <w:t xml:space="preserve">a </w:t>
      </w:r>
      <w:r w:rsidR="005D1EF9">
        <w:rPr>
          <w:rFonts w:ascii="Calibri" w:hAnsi="Calibri"/>
          <w:sz w:val="24"/>
          <w:szCs w:val="24"/>
        </w:rPr>
        <w:t xml:space="preserve">woman's </w:t>
      </w:r>
      <w:r w:rsidR="00470082">
        <w:rPr>
          <w:rFonts w:ascii="Calibri" w:hAnsi="Calibri"/>
          <w:sz w:val="24"/>
          <w:szCs w:val="24"/>
        </w:rPr>
        <w:t xml:space="preserve">cervical screening history. </w:t>
      </w:r>
    </w:p>
    <w:p w:rsidR="00F02C7A" w:rsidRDefault="00B05237" w:rsidP="008106D1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CSR </w:t>
      </w:r>
      <w:r w:rsidR="008B4015">
        <w:rPr>
          <w:rFonts w:ascii="Calibri" w:hAnsi="Calibri"/>
          <w:sz w:val="24"/>
          <w:szCs w:val="24"/>
        </w:rPr>
        <w:t xml:space="preserve">data within the CHeReL Master Linkage Key is </w:t>
      </w:r>
      <w:r w:rsidR="00C53BDC">
        <w:rPr>
          <w:rFonts w:ascii="Calibri" w:hAnsi="Calibri"/>
          <w:sz w:val="24"/>
          <w:szCs w:val="24"/>
        </w:rPr>
        <w:t xml:space="preserve">updated periodically. </w:t>
      </w:r>
      <w:r w:rsidR="00F02C7A">
        <w:rPr>
          <w:rFonts w:ascii="Calibri" w:hAnsi="Calibri"/>
          <w:sz w:val="24"/>
          <w:szCs w:val="24"/>
        </w:rPr>
        <w:t xml:space="preserve">The data supplied to CHeReL is therefore </w:t>
      </w:r>
      <w:r w:rsidR="009A0059">
        <w:rPr>
          <w:rFonts w:ascii="Calibri" w:hAnsi="Calibri"/>
          <w:sz w:val="24"/>
          <w:szCs w:val="24"/>
        </w:rPr>
        <w:t>subj</w:t>
      </w:r>
      <w:r w:rsidR="00470082">
        <w:rPr>
          <w:rFonts w:ascii="Calibri" w:hAnsi="Calibri"/>
          <w:sz w:val="24"/>
          <w:szCs w:val="24"/>
        </w:rPr>
        <w:t>ect to change, as quality assurance exercises occur</w:t>
      </w:r>
      <w:r w:rsidR="009A0059">
        <w:rPr>
          <w:rFonts w:ascii="Calibri" w:hAnsi="Calibri"/>
          <w:sz w:val="24"/>
          <w:szCs w:val="24"/>
        </w:rPr>
        <w:t>.</w:t>
      </w:r>
    </w:p>
    <w:p w:rsidR="00DC1DB8" w:rsidRDefault="00B05237" w:rsidP="008106D1">
      <w:pPr>
        <w:spacing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CSR </w:t>
      </w:r>
      <w:r w:rsidR="009A0059">
        <w:rPr>
          <w:rFonts w:ascii="Calibri" w:hAnsi="Calibri"/>
          <w:sz w:val="24"/>
          <w:szCs w:val="24"/>
        </w:rPr>
        <w:t xml:space="preserve">records </w:t>
      </w:r>
      <w:r w:rsidR="00DC1DB8">
        <w:rPr>
          <w:rFonts w:ascii="Calibri" w:hAnsi="Calibri"/>
          <w:sz w:val="24"/>
          <w:szCs w:val="24"/>
        </w:rPr>
        <w:t xml:space="preserve">available </w:t>
      </w:r>
      <w:r w:rsidR="00A53063">
        <w:rPr>
          <w:rFonts w:ascii="Calibri" w:hAnsi="Calibri"/>
          <w:sz w:val="24"/>
          <w:szCs w:val="24"/>
        </w:rPr>
        <w:t>for analysis</w:t>
      </w:r>
      <w:r w:rsidR="00DC1DB8">
        <w:rPr>
          <w:rFonts w:ascii="Calibri" w:hAnsi="Calibri"/>
          <w:sz w:val="24"/>
          <w:szCs w:val="24"/>
        </w:rPr>
        <w:t xml:space="preserve"> a</w:t>
      </w:r>
      <w:r w:rsidR="00A53063">
        <w:rPr>
          <w:rFonts w:ascii="Calibri" w:hAnsi="Calibri"/>
          <w:sz w:val="24"/>
          <w:szCs w:val="24"/>
        </w:rPr>
        <w:t xml:space="preserve">re non-identifiable details </w:t>
      </w:r>
      <w:r w:rsidR="005D1EF9">
        <w:rPr>
          <w:rFonts w:ascii="Calibri" w:hAnsi="Calibri"/>
          <w:sz w:val="24"/>
          <w:szCs w:val="24"/>
        </w:rPr>
        <w:t xml:space="preserve">of the women’s records </w:t>
      </w:r>
      <w:r w:rsidR="00F70EA8">
        <w:rPr>
          <w:rFonts w:ascii="Calibri" w:hAnsi="Calibri"/>
          <w:sz w:val="24"/>
          <w:szCs w:val="24"/>
        </w:rPr>
        <w:t>(excluding ethnicity)</w:t>
      </w:r>
      <w:r w:rsidR="00A53063">
        <w:rPr>
          <w:rFonts w:ascii="Calibri" w:hAnsi="Calibri"/>
          <w:sz w:val="24"/>
          <w:szCs w:val="24"/>
        </w:rPr>
        <w:t>, and</w:t>
      </w:r>
      <w:r w:rsidR="00DC1DB8">
        <w:rPr>
          <w:rFonts w:ascii="Calibri" w:hAnsi="Calibri"/>
          <w:sz w:val="24"/>
          <w:szCs w:val="24"/>
        </w:rPr>
        <w:t xml:space="preserve"> the dates and results of cervical </w:t>
      </w:r>
      <w:r w:rsidR="007F13EB">
        <w:rPr>
          <w:rFonts w:ascii="Calibri" w:hAnsi="Calibri"/>
          <w:sz w:val="24"/>
          <w:szCs w:val="24"/>
        </w:rPr>
        <w:t xml:space="preserve">cancer </w:t>
      </w:r>
      <w:r w:rsidR="00DC1DB8">
        <w:rPr>
          <w:rFonts w:ascii="Calibri" w:hAnsi="Calibri"/>
          <w:sz w:val="24"/>
          <w:szCs w:val="24"/>
        </w:rPr>
        <w:t>tests (cytology, histology</w:t>
      </w:r>
      <w:r w:rsidR="00102DBC">
        <w:rPr>
          <w:rFonts w:ascii="Calibri" w:hAnsi="Calibri"/>
          <w:sz w:val="24"/>
          <w:szCs w:val="24"/>
        </w:rPr>
        <w:t xml:space="preserve"> </w:t>
      </w:r>
      <w:r w:rsidR="00DC1DB8">
        <w:rPr>
          <w:rFonts w:ascii="Calibri" w:hAnsi="Calibri"/>
          <w:sz w:val="24"/>
          <w:szCs w:val="24"/>
        </w:rPr>
        <w:t xml:space="preserve">and HPV tests). </w:t>
      </w:r>
      <w:r w:rsidR="00582A1F">
        <w:rPr>
          <w:rFonts w:ascii="Calibri" w:hAnsi="Calibri"/>
          <w:sz w:val="24"/>
          <w:szCs w:val="24"/>
        </w:rPr>
        <w:t xml:space="preserve">Non-identifying details of test providers are also available. </w:t>
      </w:r>
      <w:r w:rsidR="00703FCD">
        <w:rPr>
          <w:rFonts w:ascii="Calibri" w:hAnsi="Calibri"/>
          <w:sz w:val="24"/>
          <w:szCs w:val="24"/>
        </w:rPr>
        <w:t>Details of the laboratory that processed the test are not available</w:t>
      </w:r>
      <w:r w:rsidR="00DB0EE4">
        <w:rPr>
          <w:rFonts w:ascii="Calibri" w:hAnsi="Calibri"/>
          <w:sz w:val="24"/>
          <w:szCs w:val="24"/>
        </w:rPr>
        <w:t xml:space="preserve"> for linkage due to commercial confidentiality</w:t>
      </w:r>
      <w:r w:rsidR="00703FCD">
        <w:rPr>
          <w:rFonts w:ascii="Calibri" w:hAnsi="Calibri"/>
          <w:sz w:val="24"/>
          <w:szCs w:val="24"/>
        </w:rPr>
        <w:t>.</w:t>
      </w:r>
    </w:p>
    <w:p w:rsidR="00A579C9" w:rsidRDefault="00A579C9" w:rsidP="008106D1">
      <w:pPr>
        <w:spacing w:line="240" w:lineRule="auto"/>
        <w:rPr>
          <w:rFonts w:ascii="Calibri" w:hAnsi="Calibri"/>
          <w:sz w:val="24"/>
          <w:szCs w:val="24"/>
        </w:rPr>
      </w:pPr>
    </w:p>
    <w:p w:rsidR="008A4893" w:rsidRDefault="008A4893">
      <w:pPr>
        <w:spacing w:after="0" w:line="240" w:lineRule="auto"/>
        <w:rPr>
          <w:rFonts w:ascii="Arial" w:eastAsia="Times New Roman" w:hAnsi="Arial" w:cs="Arial"/>
          <w:b/>
          <w:bCs/>
          <w:color w:val="403152" w:themeColor="accent4" w:themeShade="80"/>
          <w:kern w:val="32"/>
          <w:sz w:val="32"/>
          <w:szCs w:val="32"/>
          <w:lang w:eastAsia="en-AU"/>
        </w:rPr>
      </w:pPr>
      <w:r>
        <w:br w:type="page"/>
      </w:r>
    </w:p>
    <w:p w:rsidR="0078051B" w:rsidRPr="000F050A" w:rsidRDefault="004E6AC1" w:rsidP="000669A2">
      <w:pPr>
        <w:pStyle w:val="Heading1"/>
      </w:pPr>
      <w:r>
        <w:lastRenderedPageBreak/>
        <w:t>Special Notes</w:t>
      </w:r>
      <w:r w:rsidR="0078051B" w:rsidRPr="000F050A">
        <w:t xml:space="preserve"> for using </w:t>
      </w:r>
      <w:r w:rsidR="00B05237">
        <w:t xml:space="preserve">ACT Cervical Screening </w:t>
      </w:r>
      <w:r w:rsidR="003907EC">
        <w:t>Register</w:t>
      </w:r>
      <w:r w:rsidR="0078051B" w:rsidRPr="000F050A">
        <w:t xml:space="preserve"> </w:t>
      </w:r>
      <w:r w:rsidR="00477910">
        <w:t>Data</w:t>
      </w:r>
    </w:p>
    <w:p w:rsidR="002F480F" w:rsidRDefault="0006661E" w:rsidP="002F480F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Definitions:</w:t>
      </w:r>
    </w:p>
    <w:p w:rsidR="0006661E" w:rsidRDefault="0006661E" w:rsidP="004C77DE">
      <w:pPr>
        <w:pStyle w:val="ListParagraph"/>
        <w:numPr>
          <w:ilvl w:val="0"/>
          <w:numId w:val="22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Client – The </w:t>
      </w:r>
      <w:r w:rsidR="006436E3">
        <w:rPr>
          <w:rFonts w:ascii="Calibri" w:hAnsi="Calibri" w:cs="Calibri"/>
          <w:sz w:val="24"/>
          <w:szCs w:val="24"/>
        </w:rPr>
        <w:t xml:space="preserve">woman </w:t>
      </w:r>
      <w:r>
        <w:rPr>
          <w:rFonts w:ascii="Calibri" w:hAnsi="Calibri" w:cs="Calibri"/>
          <w:sz w:val="24"/>
          <w:szCs w:val="24"/>
        </w:rPr>
        <w:t>that has had a cervical</w:t>
      </w:r>
      <w:r w:rsidR="007F13EB">
        <w:rPr>
          <w:rFonts w:ascii="Calibri" w:hAnsi="Calibri" w:cs="Calibri"/>
          <w:sz w:val="24"/>
          <w:szCs w:val="24"/>
        </w:rPr>
        <w:t xml:space="preserve"> cancer</w:t>
      </w:r>
      <w:r>
        <w:rPr>
          <w:rFonts w:ascii="Calibri" w:hAnsi="Calibri" w:cs="Calibri"/>
          <w:sz w:val="24"/>
          <w:szCs w:val="24"/>
        </w:rPr>
        <w:t xml:space="preserve"> test</w:t>
      </w:r>
    </w:p>
    <w:p w:rsidR="002F480F" w:rsidRPr="004C77DE" w:rsidRDefault="0006661E" w:rsidP="004C77DE">
      <w:pPr>
        <w:pStyle w:val="ListParagraph"/>
        <w:numPr>
          <w:ilvl w:val="0"/>
          <w:numId w:val="22"/>
        </w:numPr>
        <w:spacing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Provider – The </w:t>
      </w:r>
      <w:r w:rsidR="007F13EB">
        <w:rPr>
          <w:rFonts w:ascii="Calibri" w:hAnsi="Calibri" w:cs="Calibri"/>
          <w:sz w:val="24"/>
          <w:szCs w:val="24"/>
        </w:rPr>
        <w:t xml:space="preserve">health practitioner </w:t>
      </w:r>
      <w:r>
        <w:rPr>
          <w:rFonts w:ascii="Calibri" w:hAnsi="Calibri" w:cs="Calibri"/>
          <w:sz w:val="24"/>
          <w:szCs w:val="24"/>
        </w:rPr>
        <w:t>that took the</w:t>
      </w:r>
      <w:r w:rsidR="007F13EB">
        <w:rPr>
          <w:rFonts w:ascii="Calibri" w:hAnsi="Calibri" w:cs="Calibri"/>
          <w:sz w:val="24"/>
          <w:szCs w:val="24"/>
        </w:rPr>
        <w:t xml:space="preserve"> cervical</w:t>
      </w:r>
      <w:r>
        <w:rPr>
          <w:rFonts w:ascii="Calibri" w:hAnsi="Calibri" w:cs="Calibri"/>
          <w:sz w:val="24"/>
          <w:szCs w:val="24"/>
        </w:rPr>
        <w:t xml:space="preserve"> </w:t>
      </w:r>
      <w:r w:rsidR="007F13EB">
        <w:rPr>
          <w:rFonts w:ascii="Calibri" w:hAnsi="Calibri" w:cs="Calibri"/>
          <w:sz w:val="24"/>
          <w:szCs w:val="24"/>
        </w:rPr>
        <w:t xml:space="preserve">cancer </w:t>
      </w:r>
      <w:r>
        <w:rPr>
          <w:rFonts w:ascii="Calibri" w:hAnsi="Calibri" w:cs="Calibri"/>
          <w:sz w:val="24"/>
          <w:szCs w:val="24"/>
        </w:rPr>
        <w:t xml:space="preserve">test, or </w:t>
      </w:r>
      <w:r w:rsidR="007F13EB">
        <w:rPr>
          <w:rFonts w:ascii="Calibri" w:hAnsi="Calibri" w:cs="Calibri"/>
          <w:sz w:val="24"/>
          <w:szCs w:val="24"/>
        </w:rPr>
        <w:t xml:space="preserve">the health </w:t>
      </w:r>
      <w:r w:rsidR="007F13EB" w:rsidRPr="007F13EB">
        <w:rPr>
          <w:rFonts w:ascii="Calibri" w:hAnsi="Calibri" w:cs="Calibri"/>
          <w:sz w:val="24"/>
          <w:szCs w:val="24"/>
        </w:rPr>
        <w:t xml:space="preserve">practitioner </w:t>
      </w:r>
      <w:r w:rsidR="007F13EB" w:rsidRPr="000C6EF6">
        <w:rPr>
          <w:rFonts w:ascii="Calibri" w:hAnsi="Calibri" w:cs="Calibri"/>
          <w:sz w:val="24"/>
          <w:szCs w:val="24"/>
        </w:rPr>
        <w:t>by or on whose behalf the relevant pathology request form was submitted</w:t>
      </w:r>
      <w:r w:rsidR="007F13EB" w:rsidRPr="004C77DE" w:rsidDel="007F13EB">
        <w:rPr>
          <w:rFonts w:ascii="Calibri" w:hAnsi="Calibri" w:cs="Calibri"/>
          <w:sz w:val="24"/>
          <w:szCs w:val="24"/>
        </w:rPr>
        <w:t xml:space="preserve"> </w:t>
      </w:r>
    </w:p>
    <w:p w:rsidR="00130BF7" w:rsidRPr="000C6EF6" w:rsidRDefault="000E49D4" w:rsidP="004C77DE">
      <w:pPr>
        <w:pStyle w:val="ListParagraph"/>
        <w:numPr>
          <w:ilvl w:val="0"/>
          <w:numId w:val="22"/>
        </w:numPr>
        <w:spacing w:line="240" w:lineRule="auto"/>
        <w:rPr>
          <w:rFonts w:ascii="Calibri" w:hAnsi="Calibri" w:cs="Calibri"/>
          <w:sz w:val="24"/>
          <w:szCs w:val="24"/>
        </w:rPr>
      </w:pPr>
      <w:r w:rsidRPr="004C77DE">
        <w:rPr>
          <w:rFonts w:ascii="Calibri" w:hAnsi="Calibri" w:cs="Calibri"/>
          <w:sz w:val="24"/>
          <w:szCs w:val="24"/>
        </w:rPr>
        <w:t xml:space="preserve">Cervical Test Data </w:t>
      </w:r>
      <w:r w:rsidR="000C6EF6" w:rsidRPr="004C77DE">
        <w:rPr>
          <w:rFonts w:ascii="Calibri" w:hAnsi="Calibri" w:cs="Calibri"/>
          <w:sz w:val="24"/>
          <w:szCs w:val="24"/>
        </w:rPr>
        <w:t>–</w:t>
      </w:r>
      <w:r w:rsidRPr="004C77DE">
        <w:rPr>
          <w:rFonts w:ascii="Calibri" w:hAnsi="Calibri" w:cs="Calibri"/>
          <w:sz w:val="24"/>
          <w:szCs w:val="24"/>
        </w:rPr>
        <w:t xml:space="preserve"> </w:t>
      </w:r>
      <w:r w:rsidR="000C6EF6" w:rsidRPr="004C77DE">
        <w:rPr>
          <w:rFonts w:asciiTheme="minorHAnsi" w:hAnsiTheme="minorHAnsi" w:cstheme="minorHAnsi"/>
          <w:sz w:val="24"/>
          <w:szCs w:val="24"/>
        </w:rPr>
        <w:t>This includes a</w:t>
      </w:r>
      <w:r w:rsidRPr="004C77DE">
        <w:rPr>
          <w:rFonts w:asciiTheme="minorHAnsi" w:hAnsiTheme="minorHAnsi" w:cstheme="minorHAnsi"/>
          <w:sz w:val="24"/>
          <w:szCs w:val="24"/>
        </w:rPr>
        <w:t>ll samples with a cervical component</w:t>
      </w:r>
      <w:r w:rsidR="000C6EF6" w:rsidRPr="004C77DE">
        <w:rPr>
          <w:rFonts w:asciiTheme="minorHAnsi" w:hAnsiTheme="minorHAnsi" w:cstheme="minorHAnsi"/>
          <w:sz w:val="24"/>
          <w:szCs w:val="24"/>
        </w:rPr>
        <w:t>, not just those collected as part of the cervical screening pathway. It includes cervical cancer pathology.</w:t>
      </w:r>
    </w:p>
    <w:p w:rsidR="000C6EF6" w:rsidRDefault="000C6EF6" w:rsidP="002F480F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78051B" w:rsidRPr="00087354" w:rsidRDefault="002F480F" w:rsidP="0073170E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  <w:r w:rsidRPr="0073170E">
        <w:rPr>
          <w:rFonts w:ascii="Calibri" w:hAnsi="Calibri"/>
          <w:b/>
          <w:sz w:val="24"/>
          <w:szCs w:val="24"/>
        </w:rPr>
        <w:t>Date of cervical test:</w:t>
      </w:r>
      <w:r>
        <w:rPr>
          <w:rFonts w:ascii="Calibri" w:hAnsi="Calibri"/>
          <w:sz w:val="24"/>
          <w:szCs w:val="24"/>
        </w:rPr>
        <w:t xml:space="preserve"> </w:t>
      </w:r>
      <w:r w:rsidR="00087354">
        <w:rPr>
          <w:rFonts w:ascii="Calibri" w:hAnsi="Calibri"/>
          <w:sz w:val="24"/>
          <w:szCs w:val="24"/>
        </w:rPr>
        <w:t xml:space="preserve">The </w:t>
      </w:r>
      <w:r w:rsidR="00B05237">
        <w:rPr>
          <w:rFonts w:ascii="Calibri" w:hAnsi="Calibri"/>
          <w:sz w:val="24"/>
          <w:szCs w:val="24"/>
        </w:rPr>
        <w:t xml:space="preserve">CSR </w:t>
      </w:r>
      <w:r w:rsidR="00087354">
        <w:rPr>
          <w:rFonts w:ascii="Calibri" w:hAnsi="Calibri"/>
          <w:sz w:val="24"/>
          <w:szCs w:val="24"/>
        </w:rPr>
        <w:t xml:space="preserve">collects a </w:t>
      </w:r>
      <w:r w:rsidR="000B388F">
        <w:rPr>
          <w:rFonts w:ascii="Calibri" w:hAnsi="Calibri"/>
          <w:sz w:val="24"/>
          <w:szCs w:val="24"/>
        </w:rPr>
        <w:t>‘</w:t>
      </w:r>
      <w:r w:rsidR="00087354">
        <w:rPr>
          <w:rFonts w:ascii="Calibri" w:hAnsi="Calibri"/>
          <w:sz w:val="24"/>
          <w:szCs w:val="24"/>
        </w:rPr>
        <w:t>test</w:t>
      </w:r>
      <w:r w:rsidR="00B05237">
        <w:rPr>
          <w:rFonts w:ascii="Calibri" w:hAnsi="Calibri"/>
          <w:sz w:val="24"/>
          <w:szCs w:val="24"/>
        </w:rPr>
        <w:t>_</w:t>
      </w:r>
      <w:r w:rsidR="00087354">
        <w:rPr>
          <w:rFonts w:ascii="Calibri" w:hAnsi="Calibri"/>
          <w:sz w:val="24"/>
          <w:szCs w:val="24"/>
        </w:rPr>
        <w:t>date</w:t>
      </w:r>
      <w:r w:rsidR="000B388F">
        <w:rPr>
          <w:rFonts w:ascii="Calibri" w:hAnsi="Calibri"/>
          <w:sz w:val="24"/>
          <w:szCs w:val="24"/>
        </w:rPr>
        <w:t>’</w:t>
      </w:r>
      <w:r w:rsidR="00087354">
        <w:rPr>
          <w:rFonts w:ascii="Calibri" w:hAnsi="Calibri"/>
          <w:sz w:val="24"/>
          <w:szCs w:val="24"/>
        </w:rPr>
        <w:t xml:space="preserve"> variable, and it is </w:t>
      </w:r>
      <w:r w:rsidR="009C76DC">
        <w:rPr>
          <w:rFonts w:ascii="Calibri" w:hAnsi="Calibri"/>
          <w:sz w:val="24"/>
          <w:szCs w:val="24"/>
        </w:rPr>
        <w:t>assumed</w:t>
      </w:r>
      <w:r w:rsidR="00087354">
        <w:rPr>
          <w:rFonts w:ascii="Calibri" w:hAnsi="Calibri"/>
          <w:sz w:val="24"/>
          <w:szCs w:val="24"/>
        </w:rPr>
        <w:t xml:space="preserve"> that this is the date of sample collection. In some cases however, t</w:t>
      </w:r>
      <w:r w:rsidR="0078051B" w:rsidRPr="00B35AF8">
        <w:rPr>
          <w:rFonts w:ascii="Calibri" w:hAnsi="Calibri"/>
          <w:sz w:val="24"/>
          <w:szCs w:val="24"/>
        </w:rPr>
        <w:t xml:space="preserve">he </w:t>
      </w:r>
      <w:r w:rsidR="00FD42E3">
        <w:rPr>
          <w:rFonts w:ascii="Calibri" w:hAnsi="Calibri"/>
          <w:sz w:val="24"/>
          <w:szCs w:val="24"/>
        </w:rPr>
        <w:t>‘</w:t>
      </w:r>
      <w:r w:rsidR="0078051B">
        <w:rPr>
          <w:rFonts w:ascii="Calibri" w:hAnsi="Calibri"/>
          <w:sz w:val="24"/>
          <w:szCs w:val="24"/>
        </w:rPr>
        <w:t>test</w:t>
      </w:r>
      <w:r w:rsidR="009C76DC">
        <w:rPr>
          <w:rFonts w:ascii="Calibri" w:hAnsi="Calibri"/>
          <w:sz w:val="24"/>
          <w:szCs w:val="24"/>
        </w:rPr>
        <w:t xml:space="preserve"> </w:t>
      </w:r>
      <w:r w:rsidR="00B05237">
        <w:rPr>
          <w:rFonts w:ascii="Calibri" w:hAnsi="Calibri"/>
          <w:sz w:val="24"/>
          <w:szCs w:val="24"/>
        </w:rPr>
        <w:t>_</w:t>
      </w:r>
      <w:r w:rsidR="009C76DC">
        <w:rPr>
          <w:rFonts w:ascii="Calibri" w:hAnsi="Calibri"/>
          <w:sz w:val="24"/>
          <w:szCs w:val="24"/>
        </w:rPr>
        <w:t>date</w:t>
      </w:r>
      <w:r w:rsidR="00FD42E3">
        <w:rPr>
          <w:rFonts w:ascii="Calibri" w:hAnsi="Calibri"/>
          <w:sz w:val="24"/>
          <w:szCs w:val="24"/>
        </w:rPr>
        <w:t>’</w:t>
      </w:r>
      <w:r w:rsidR="009C76DC">
        <w:rPr>
          <w:rFonts w:ascii="Calibri" w:hAnsi="Calibri"/>
          <w:sz w:val="24"/>
          <w:szCs w:val="24"/>
        </w:rPr>
        <w:t xml:space="preserve"> supplied to the </w:t>
      </w:r>
      <w:r w:rsidR="006436E3">
        <w:rPr>
          <w:rFonts w:ascii="Calibri" w:hAnsi="Calibri"/>
          <w:sz w:val="24"/>
          <w:szCs w:val="24"/>
        </w:rPr>
        <w:t xml:space="preserve">CSR </w:t>
      </w:r>
      <w:r w:rsidR="009C76DC">
        <w:rPr>
          <w:rFonts w:ascii="Calibri" w:hAnsi="Calibri"/>
          <w:sz w:val="24"/>
          <w:szCs w:val="24"/>
        </w:rPr>
        <w:t>by laboratories is</w:t>
      </w:r>
      <w:r w:rsidR="0078051B">
        <w:rPr>
          <w:rFonts w:ascii="Calibri" w:hAnsi="Calibri"/>
          <w:sz w:val="24"/>
          <w:szCs w:val="24"/>
        </w:rPr>
        <w:t xml:space="preserve"> the date the test request form</w:t>
      </w:r>
      <w:r w:rsidR="009C76DC">
        <w:rPr>
          <w:rFonts w:ascii="Calibri" w:hAnsi="Calibri"/>
          <w:sz w:val="24"/>
          <w:szCs w:val="24"/>
        </w:rPr>
        <w:t xml:space="preserve"> was supplied to the patient</w:t>
      </w:r>
      <w:r w:rsidR="0078051B">
        <w:rPr>
          <w:rFonts w:ascii="Calibri" w:hAnsi="Calibri"/>
          <w:sz w:val="24"/>
          <w:szCs w:val="24"/>
        </w:rPr>
        <w:t xml:space="preserve">. </w:t>
      </w:r>
      <w:r w:rsidR="00087354">
        <w:rPr>
          <w:rFonts w:ascii="Calibri" w:hAnsi="Calibri"/>
          <w:sz w:val="24"/>
          <w:szCs w:val="24"/>
        </w:rPr>
        <w:t xml:space="preserve">This may not necessarily be the date of collection of the sample. </w:t>
      </w:r>
    </w:p>
    <w:p w:rsidR="00E11451" w:rsidRDefault="00E11451" w:rsidP="0073170E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130BF7" w:rsidRDefault="00130BF7" w:rsidP="0073170E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A4528A" w:rsidRDefault="00133112" w:rsidP="0073170E">
      <w:pPr>
        <w:pStyle w:val="ListParagraph"/>
        <w:spacing w:line="240" w:lineRule="auto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Cervical </w:t>
      </w:r>
      <w:r w:rsidR="002F480F" w:rsidRPr="00E11451">
        <w:rPr>
          <w:rFonts w:ascii="Calibri" w:hAnsi="Calibri" w:cs="Calibri"/>
          <w:b/>
          <w:sz w:val="24"/>
          <w:szCs w:val="24"/>
        </w:rPr>
        <w:t>Cytology</w:t>
      </w:r>
      <w:r w:rsidR="00AB2073" w:rsidRPr="00E11451">
        <w:rPr>
          <w:rFonts w:ascii="Calibri" w:hAnsi="Calibri" w:cs="Calibri"/>
          <w:b/>
          <w:sz w:val="24"/>
          <w:szCs w:val="24"/>
        </w:rPr>
        <w:t xml:space="preserve"> results</w:t>
      </w:r>
      <w:r w:rsidR="00F161ED">
        <w:rPr>
          <w:rFonts w:ascii="Calibri" w:hAnsi="Calibri" w:cs="Calibri"/>
          <w:b/>
          <w:sz w:val="24"/>
          <w:szCs w:val="24"/>
        </w:rPr>
        <w:t xml:space="preserve">: </w:t>
      </w:r>
      <w:r w:rsidR="00F161ED" w:rsidRPr="000C12F9">
        <w:rPr>
          <w:rFonts w:asciiTheme="minorHAnsi" w:hAnsiTheme="minorHAnsi" w:cstheme="minorHAnsi"/>
          <w:sz w:val="24"/>
          <w:szCs w:val="24"/>
        </w:rPr>
        <w:t>Cytology test results</w:t>
      </w:r>
      <w:r w:rsidR="00622CC8">
        <w:rPr>
          <w:rFonts w:asciiTheme="minorHAnsi" w:hAnsiTheme="minorHAnsi" w:cstheme="minorHAnsi"/>
          <w:sz w:val="24"/>
          <w:szCs w:val="24"/>
        </w:rPr>
        <w:t xml:space="preserve"> </w:t>
      </w:r>
      <w:r w:rsidR="00622CC8" w:rsidRPr="00622CC8">
        <w:rPr>
          <w:rFonts w:ascii="Calibri" w:hAnsi="Calibri" w:cs="Calibri"/>
          <w:sz w:val="24"/>
          <w:szCs w:val="24"/>
        </w:rPr>
        <w:t>are coded by the laboratory to the Cytology Coding Schedule (NHMRC 2005)</w:t>
      </w:r>
      <w:r w:rsidR="00BF00E3" w:rsidRPr="000C12F9">
        <w:rPr>
          <w:rFonts w:asciiTheme="minorHAnsi" w:hAnsiTheme="minorHAnsi" w:cstheme="minorHAnsi"/>
          <w:sz w:val="24"/>
          <w:szCs w:val="24"/>
        </w:rPr>
        <w:t xml:space="preserve"> </w:t>
      </w:r>
      <w:r w:rsidR="00622CC8">
        <w:rPr>
          <w:rFonts w:asciiTheme="minorHAnsi" w:hAnsiTheme="minorHAnsi" w:cstheme="minorHAnsi"/>
          <w:sz w:val="24"/>
          <w:szCs w:val="24"/>
        </w:rPr>
        <w:t>and sent</w:t>
      </w:r>
      <w:r w:rsidR="00622CC8" w:rsidRPr="000C12F9">
        <w:rPr>
          <w:rFonts w:asciiTheme="minorHAnsi" w:hAnsiTheme="minorHAnsi" w:cstheme="minorHAnsi"/>
          <w:sz w:val="24"/>
          <w:szCs w:val="24"/>
        </w:rPr>
        <w:t xml:space="preserve"> </w:t>
      </w:r>
      <w:r w:rsidR="00BF00E3" w:rsidRPr="000C12F9">
        <w:rPr>
          <w:rFonts w:asciiTheme="minorHAnsi" w:hAnsiTheme="minorHAnsi" w:cstheme="minorHAnsi"/>
          <w:sz w:val="24"/>
          <w:szCs w:val="24"/>
        </w:rPr>
        <w:t>to the PTR</w:t>
      </w:r>
      <w:r w:rsidR="00B30EBA">
        <w:rPr>
          <w:rFonts w:asciiTheme="minorHAnsi" w:hAnsiTheme="minorHAnsi" w:cstheme="minorHAnsi"/>
          <w:sz w:val="24"/>
          <w:szCs w:val="24"/>
        </w:rPr>
        <w:t xml:space="preserve">. The Coding Schedule </w:t>
      </w:r>
      <w:r w:rsidR="000C12F9" w:rsidRPr="000C12F9">
        <w:rPr>
          <w:rFonts w:asciiTheme="minorHAnsi" w:hAnsiTheme="minorHAnsi" w:cstheme="minorHAnsi"/>
          <w:sz w:val="24"/>
          <w:szCs w:val="24"/>
        </w:rPr>
        <w:t>was developed by the National Cervical Screening Program based</w:t>
      </w:r>
      <w:r w:rsidR="00520E55" w:rsidRPr="000C12F9">
        <w:rPr>
          <w:rFonts w:asciiTheme="minorHAnsi" w:hAnsiTheme="minorHAnsi" w:cstheme="minorHAnsi"/>
          <w:sz w:val="24"/>
          <w:szCs w:val="24"/>
        </w:rPr>
        <w:t xml:space="preserve"> on the Australian Modified Bethesda System 2004 for reporting cervical cytology, </w:t>
      </w:r>
      <w:r w:rsidR="000C12F9" w:rsidRPr="000C12F9">
        <w:rPr>
          <w:rFonts w:asciiTheme="minorHAnsi" w:hAnsiTheme="minorHAnsi" w:cstheme="minorHAnsi"/>
          <w:sz w:val="24"/>
          <w:szCs w:val="24"/>
        </w:rPr>
        <w:t xml:space="preserve">and </w:t>
      </w:r>
      <w:r w:rsidR="00520E55" w:rsidRPr="000C12F9">
        <w:rPr>
          <w:rFonts w:asciiTheme="minorHAnsi" w:hAnsiTheme="minorHAnsi" w:cstheme="minorHAnsi"/>
          <w:sz w:val="24"/>
          <w:szCs w:val="24"/>
        </w:rPr>
        <w:t xml:space="preserve">introduced along with revised guidelines for the management of asymptomatic women with screen-detected abnormalities </w:t>
      </w:r>
      <w:r w:rsidR="000C12F9" w:rsidRPr="000C12F9">
        <w:rPr>
          <w:rFonts w:asciiTheme="minorHAnsi" w:hAnsiTheme="minorHAnsi" w:cstheme="minorHAnsi"/>
          <w:sz w:val="24"/>
          <w:szCs w:val="24"/>
        </w:rPr>
        <w:t>on 1</w:t>
      </w:r>
      <w:r w:rsidR="00520E55" w:rsidRPr="000C12F9">
        <w:rPr>
          <w:rFonts w:asciiTheme="minorHAnsi" w:hAnsiTheme="minorHAnsi" w:cstheme="minorHAnsi"/>
          <w:sz w:val="24"/>
          <w:szCs w:val="24"/>
        </w:rPr>
        <w:t xml:space="preserve"> July 2006 </w:t>
      </w:r>
      <w:r w:rsidR="00477910">
        <w:rPr>
          <w:rFonts w:asciiTheme="minorHAnsi" w:hAnsiTheme="minorHAnsi" w:cstheme="minorHAnsi"/>
          <w:sz w:val="24"/>
          <w:szCs w:val="24"/>
        </w:rPr>
        <w:t>(NHMRC 2005)</w:t>
      </w:r>
      <w:r w:rsidR="00445395">
        <w:rPr>
          <w:rFonts w:asciiTheme="minorHAnsi" w:hAnsiTheme="minorHAnsi" w:cstheme="minorHAnsi"/>
          <w:sz w:val="24"/>
          <w:szCs w:val="24"/>
        </w:rPr>
        <w:t xml:space="preserve">. </w:t>
      </w:r>
      <w:r w:rsidR="00A4528A">
        <w:rPr>
          <w:rFonts w:asciiTheme="minorHAnsi" w:hAnsiTheme="minorHAnsi" w:cstheme="minorHAnsi"/>
          <w:sz w:val="24"/>
          <w:szCs w:val="24"/>
        </w:rPr>
        <w:t xml:space="preserve">The guidelines </w:t>
      </w:r>
      <w:r w:rsidR="00445395" w:rsidRPr="00A4528A">
        <w:rPr>
          <w:rFonts w:asciiTheme="minorHAnsi" w:hAnsiTheme="minorHAnsi" w:cstheme="minorHAnsi"/>
          <w:bCs/>
          <w:i/>
          <w:sz w:val="24"/>
          <w:szCs w:val="24"/>
          <w:lang w:eastAsia="en-AU"/>
        </w:rPr>
        <w:t xml:space="preserve">Screening to Prevent Cervical Cancer: </w:t>
      </w:r>
      <w:r w:rsidR="00445395" w:rsidRPr="00A4528A">
        <w:rPr>
          <w:rFonts w:asciiTheme="minorHAnsi" w:hAnsiTheme="minorHAnsi" w:cstheme="minorHAnsi"/>
          <w:i/>
          <w:sz w:val="24"/>
          <w:szCs w:val="24"/>
          <w:lang w:eastAsia="en-AU"/>
        </w:rPr>
        <w:t>Guidelines for the Management of</w:t>
      </w:r>
      <w:r w:rsidR="00445395" w:rsidRPr="00A4528A">
        <w:rPr>
          <w:rFonts w:asciiTheme="minorHAnsi" w:hAnsiTheme="minorHAnsi" w:cstheme="minorHAnsi"/>
          <w:bCs/>
          <w:i/>
          <w:sz w:val="24"/>
          <w:szCs w:val="24"/>
          <w:lang w:eastAsia="en-AU"/>
        </w:rPr>
        <w:t xml:space="preserve"> </w:t>
      </w:r>
      <w:r w:rsidR="00445395" w:rsidRPr="00A4528A">
        <w:rPr>
          <w:rFonts w:asciiTheme="minorHAnsi" w:hAnsiTheme="minorHAnsi" w:cstheme="minorHAnsi"/>
          <w:i/>
          <w:sz w:val="24"/>
          <w:szCs w:val="24"/>
          <w:lang w:eastAsia="en-AU"/>
        </w:rPr>
        <w:t>Asymptomatic Women with Screen Detected Abnormalities</w:t>
      </w:r>
      <w:r w:rsidR="00445395" w:rsidRPr="005E650C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r w:rsidR="00445395">
        <w:rPr>
          <w:rFonts w:asciiTheme="minorHAnsi" w:hAnsiTheme="minorHAnsi" w:cstheme="minorHAnsi"/>
          <w:sz w:val="24"/>
          <w:szCs w:val="24"/>
          <w:lang w:eastAsia="en-AU"/>
        </w:rPr>
        <w:t>can be found here:</w:t>
      </w:r>
      <w:r w:rsidR="00A4528A">
        <w:rPr>
          <w:rFonts w:asciiTheme="minorHAnsi" w:hAnsiTheme="minorHAnsi" w:cstheme="minorHAnsi"/>
          <w:sz w:val="24"/>
          <w:szCs w:val="24"/>
          <w:lang w:eastAsia="en-AU"/>
        </w:rPr>
        <w:t xml:space="preserve"> </w:t>
      </w:r>
      <w:hyperlink r:id="rId9" w:history="1">
        <w:r w:rsidR="00A4528A" w:rsidRPr="008C45B1">
          <w:rPr>
            <w:rStyle w:val="Hyperlink"/>
            <w:rFonts w:asciiTheme="minorHAnsi" w:hAnsiTheme="minorHAnsi" w:cstheme="minorHAnsi"/>
            <w:sz w:val="24"/>
            <w:szCs w:val="24"/>
            <w:lang w:eastAsia="en-AU"/>
          </w:rPr>
          <w:t>https://www.nhmrc.gov.au/_files_nhmrc/publications/attachments/wh39_screening_to_prevent_cervical_cancer_150610.pdf</w:t>
        </w:r>
      </w:hyperlink>
      <w:r w:rsidR="000C12F9" w:rsidRPr="000C12F9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161ED" w:rsidRDefault="005E650C" w:rsidP="0073170E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  <w:r w:rsidRPr="000C12F9">
        <w:rPr>
          <w:rFonts w:asciiTheme="minorHAnsi" w:hAnsiTheme="minorHAnsi" w:cstheme="minorHAnsi"/>
          <w:sz w:val="24"/>
          <w:szCs w:val="24"/>
        </w:rPr>
        <w:t>All cytology coding held by the</w:t>
      </w:r>
      <w:r w:rsidR="006436E3">
        <w:rPr>
          <w:rFonts w:asciiTheme="minorHAnsi" w:hAnsiTheme="minorHAnsi" w:cstheme="minorHAnsi"/>
          <w:sz w:val="24"/>
          <w:szCs w:val="24"/>
        </w:rPr>
        <w:t xml:space="preserve"> </w:t>
      </w:r>
      <w:r w:rsidR="000B388F">
        <w:rPr>
          <w:rFonts w:asciiTheme="minorHAnsi" w:hAnsiTheme="minorHAnsi" w:cstheme="minorHAnsi"/>
          <w:sz w:val="24"/>
          <w:szCs w:val="24"/>
        </w:rPr>
        <w:t>CSR</w:t>
      </w:r>
      <w:r w:rsidRPr="000C12F9">
        <w:rPr>
          <w:rFonts w:asciiTheme="minorHAnsi" w:hAnsiTheme="minorHAnsi" w:cstheme="minorHAnsi"/>
          <w:sz w:val="24"/>
          <w:szCs w:val="24"/>
        </w:rPr>
        <w:t>, including results</w:t>
      </w:r>
      <w:r w:rsidR="00EF766B">
        <w:rPr>
          <w:rFonts w:asciiTheme="minorHAnsi" w:hAnsiTheme="minorHAnsi" w:cstheme="minorHAnsi"/>
          <w:sz w:val="24"/>
          <w:szCs w:val="24"/>
        </w:rPr>
        <w:t xml:space="preserve"> and recommendations</w:t>
      </w:r>
      <w:r w:rsidRPr="000C12F9">
        <w:rPr>
          <w:rFonts w:asciiTheme="minorHAnsi" w:hAnsiTheme="minorHAnsi" w:cstheme="minorHAnsi"/>
          <w:sz w:val="24"/>
          <w:szCs w:val="24"/>
        </w:rPr>
        <w:t xml:space="preserve"> prior to July 2006 have been mapped to the new codes.</w:t>
      </w:r>
      <w:r w:rsidR="00EF766B">
        <w:rPr>
          <w:rFonts w:ascii="Calibri" w:hAnsi="Calibri" w:cs="Calibri"/>
          <w:sz w:val="24"/>
          <w:szCs w:val="24"/>
        </w:rPr>
        <w:t xml:space="preserve"> </w:t>
      </w:r>
    </w:p>
    <w:p w:rsidR="00445395" w:rsidRDefault="00445395" w:rsidP="0073170E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0C12F9" w:rsidRDefault="00B30EBA" w:rsidP="0073170E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</w:t>
      </w:r>
      <w:r w:rsidR="00AA1DF5">
        <w:rPr>
          <w:rFonts w:ascii="Calibri" w:hAnsi="Calibri" w:cs="Calibri"/>
          <w:sz w:val="24"/>
          <w:szCs w:val="24"/>
        </w:rPr>
        <w:t>Cytology</w:t>
      </w:r>
      <w:r>
        <w:rPr>
          <w:rFonts w:ascii="Calibri" w:hAnsi="Calibri" w:cs="Calibri"/>
          <w:sz w:val="24"/>
          <w:szCs w:val="24"/>
        </w:rPr>
        <w:t xml:space="preserve"> Coding Schedule</w:t>
      </w:r>
      <w:r w:rsidR="000C12F9">
        <w:rPr>
          <w:rFonts w:ascii="Calibri" w:hAnsi="Calibri" w:cs="Calibri"/>
          <w:sz w:val="24"/>
          <w:szCs w:val="24"/>
        </w:rPr>
        <w:t xml:space="preserve"> summarises a cytology/Pap test report to 6 alpha</w:t>
      </w:r>
      <w:r w:rsidR="00F47FD1">
        <w:rPr>
          <w:rFonts w:ascii="Calibri" w:hAnsi="Calibri" w:cs="Calibri"/>
          <w:sz w:val="24"/>
          <w:szCs w:val="24"/>
        </w:rPr>
        <w:t>-</w:t>
      </w:r>
      <w:r w:rsidR="000C12F9">
        <w:rPr>
          <w:rFonts w:ascii="Calibri" w:hAnsi="Calibri" w:cs="Calibri"/>
          <w:sz w:val="24"/>
          <w:szCs w:val="24"/>
        </w:rPr>
        <w:t>numeric codes, covering the test type, site of test, squamous cell result, endocervical cell result, other non-cervical cells, and the recommendation made by the laboratory around further testing</w:t>
      </w:r>
      <w:r w:rsidR="00B05237">
        <w:rPr>
          <w:rFonts w:ascii="Calibri" w:hAnsi="Calibri" w:cs="Calibri"/>
          <w:sz w:val="24"/>
          <w:szCs w:val="24"/>
        </w:rPr>
        <w:t xml:space="preserve"> if the current test is </w:t>
      </w:r>
      <w:r w:rsidR="000B388F">
        <w:rPr>
          <w:rFonts w:ascii="Calibri" w:hAnsi="Calibri" w:cs="Calibri"/>
          <w:sz w:val="24"/>
          <w:szCs w:val="24"/>
        </w:rPr>
        <w:t>‘</w:t>
      </w:r>
      <w:r w:rsidR="00B05237">
        <w:rPr>
          <w:rFonts w:ascii="Calibri" w:hAnsi="Calibri" w:cs="Calibri"/>
          <w:sz w:val="24"/>
          <w:szCs w:val="24"/>
        </w:rPr>
        <w:t>R6</w:t>
      </w:r>
      <w:r w:rsidR="000B388F">
        <w:rPr>
          <w:rFonts w:ascii="Calibri" w:hAnsi="Calibri" w:cs="Calibri"/>
          <w:sz w:val="24"/>
          <w:szCs w:val="24"/>
        </w:rPr>
        <w:t>’</w:t>
      </w:r>
      <w:r w:rsidR="00B05237">
        <w:rPr>
          <w:rFonts w:ascii="Calibri" w:hAnsi="Calibri" w:cs="Calibri"/>
          <w:sz w:val="24"/>
          <w:szCs w:val="24"/>
        </w:rPr>
        <w:t xml:space="preserve"> or </w:t>
      </w:r>
      <w:r w:rsidR="000B388F">
        <w:rPr>
          <w:rFonts w:ascii="Calibri" w:hAnsi="Calibri" w:cs="Calibri"/>
          <w:sz w:val="24"/>
          <w:szCs w:val="24"/>
        </w:rPr>
        <w:t>‘</w:t>
      </w:r>
      <w:r w:rsidR="00B05237">
        <w:rPr>
          <w:rFonts w:ascii="Calibri" w:hAnsi="Calibri" w:cs="Calibri"/>
          <w:sz w:val="24"/>
          <w:szCs w:val="24"/>
        </w:rPr>
        <w:t>R7</w:t>
      </w:r>
      <w:r w:rsidR="000B388F">
        <w:rPr>
          <w:rFonts w:ascii="Calibri" w:hAnsi="Calibri" w:cs="Calibri"/>
          <w:sz w:val="24"/>
          <w:szCs w:val="24"/>
        </w:rPr>
        <w:t>’</w:t>
      </w:r>
      <w:r w:rsidR="000C12F9">
        <w:rPr>
          <w:rFonts w:ascii="Calibri" w:hAnsi="Calibri" w:cs="Calibri"/>
          <w:sz w:val="24"/>
          <w:szCs w:val="24"/>
        </w:rPr>
        <w:t>.</w:t>
      </w:r>
      <w:r w:rsidR="00B05237">
        <w:rPr>
          <w:rFonts w:ascii="Calibri" w:hAnsi="Calibri" w:cs="Calibri"/>
          <w:sz w:val="24"/>
          <w:szCs w:val="24"/>
        </w:rPr>
        <w:t xml:space="preserve">  All other Rec codes are generated by the CSR system based on result cod</w:t>
      </w:r>
      <w:r w:rsidR="000B388F">
        <w:rPr>
          <w:rFonts w:ascii="Calibri" w:hAnsi="Calibri" w:cs="Calibri"/>
          <w:sz w:val="24"/>
          <w:szCs w:val="24"/>
        </w:rPr>
        <w:t>e</w:t>
      </w:r>
      <w:r w:rsidR="00B05237">
        <w:rPr>
          <w:rFonts w:ascii="Calibri" w:hAnsi="Calibri" w:cs="Calibri"/>
          <w:sz w:val="24"/>
          <w:szCs w:val="24"/>
        </w:rPr>
        <w:t xml:space="preserve">s so that Rec codes reflect NHMRC guidelines (2005) </w:t>
      </w:r>
    </w:p>
    <w:p w:rsidR="00130BF7" w:rsidRDefault="00130BF7" w:rsidP="0073170E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130BF7" w:rsidRPr="004B7423" w:rsidRDefault="00130BF7" w:rsidP="0073170E">
      <w:pPr>
        <w:pStyle w:val="ListParagraph"/>
        <w:spacing w:line="240" w:lineRule="auto"/>
        <w:ind w:left="0"/>
        <w:rPr>
          <w:rFonts w:ascii="Calibri" w:hAnsi="Calibri" w:cs="Calibri"/>
          <w:i/>
          <w:sz w:val="24"/>
          <w:szCs w:val="24"/>
        </w:rPr>
      </w:pPr>
      <w:r w:rsidRPr="004B7423">
        <w:rPr>
          <w:rFonts w:ascii="Calibri" w:hAnsi="Calibri" w:cs="Calibri"/>
          <w:i/>
          <w:sz w:val="24"/>
          <w:szCs w:val="24"/>
        </w:rPr>
        <w:t xml:space="preserve">The </w:t>
      </w:r>
      <w:r w:rsidR="00B05237">
        <w:rPr>
          <w:rFonts w:ascii="Calibri" w:hAnsi="Calibri" w:cs="Calibri"/>
          <w:i/>
          <w:sz w:val="24"/>
          <w:szCs w:val="24"/>
        </w:rPr>
        <w:t>CS</w:t>
      </w:r>
      <w:r w:rsidR="00B05237" w:rsidRPr="004B7423">
        <w:rPr>
          <w:rFonts w:ascii="Calibri" w:hAnsi="Calibri" w:cs="Calibri"/>
          <w:i/>
          <w:sz w:val="24"/>
          <w:szCs w:val="24"/>
        </w:rPr>
        <w:t xml:space="preserve">R </w:t>
      </w:r>
      <w:r w:rsidRPr="004B7423">
        <w:rPr>
          <w:rFonts w:ascii="Calibri" w:hAnsi="Calibri" w:cs="Calibri"/>
          <w:i/>
          <w:sz w:val="24"/>
          <w:szCs w:val="24"/>
        </w:rPr>
        <w:t>is able to supply the overall cytology result group or the individual cytology codes</w:t>
      </w:r>
      <w:r w:rsidR="00D43706" w:rsidRPr="004B7423">
        <w:rPr>
          <w:rFonts w:ascii="Calibri" w:hAnsi="Calibri" w:cs="Calibri"/>
          <w:i/>
          <w:sz w:val="24"/>
          <w:szCs w:val="24"/>
        </w:rPr>
        <w:t xml:space="preserve"> </w:t>
      </w:r>
      <w:r w:rsidRPr="004B7423">
        <w:rPr>
          <w:rFonts w:ascii="Calibri" w:hAnsi="Calibri" w:cs="Calibri"/>
          <w:i/>
          <w:sz w:val="24"/>
          <w:szCs w:val="24"/>
        </w:rPr>
        <w:t>on request.</w:t>
      </w:r>
    </w:p>
    <w:p w:rsidR="00C651AA" w:rsidRDefault="00C651AA" w:rsidP="00130BF7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130BF7" w:rsidRDefault="00130BF7" w:rsidP="007F5498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8411F1" w:rsidRDefault="00133112" w:rsidP="0073170E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Cervical</w:t>
      </w:r>
      <w:r w:rsidR="008411F1" w:rsidRPr="00E11451">
        <w:rPr>
          <w:rFonts w:ascii="Calibri" w:hAnsi="Calibri" w:cs="Calibri"/>
          <w:b/>
          <w:sz w:val="24"/>
          <w:szCs w:val="24"/>
        </w:rPr>
        <w:t xml:space="preserve"> Histology Result</w:t>
      </w:r>
      <w:r w:rsidR="00C651AA" w:rsidRPr="00E11451">
        <w:rPr>
          <w:rFonts w:ascii="Calibri" w:hAnsi="Calibri" w:cs="Calibri"/>
          <w:b/>
          <w:sz w:val="24"/>
          <w:szCs w:val="24"/>
        </w:rPr>
        <w:t>s:</w:t>
      </w:r>
      <w:r w:rsidR="00130BF7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Cervical histology tests are routinely</w:t>
      </w:r>
      <w:r w:rsidR="00130BF7">
        <w:rPr>
          <w:rFonts w:ascii="Calibri" w:hAnsi="Calibri" w:cs="Calibri"/>
          <w:sz w:val="24"/>
          <w:szCs w:val="24"/>
        </w:rPr>
        <w:t xml:space="preserve"> provided to the </w:t>
      </w:r>
      <w:r w:rsidR="000B388F">
        <w:rPr>
          <w:rFonts w:ascii="Calibri" w:hAnsi="Calibri" w:cs="Calibri"/>
          <w:sz w:val="24"/>
          <w:szCs w:val="24"/>
        </w:rPr>
        <w:t xml:space="preserve">CSR </w:t>
      </w:r>
      <w:r>
        <w:rPr>
          <w:rFonts w:ascii="Calibri" w:hAnsi="Calibri" w:cs="Calibri"/>
          <w:sz w:val="24"/>
          <w:szCs w:val="24"/>
        </w:rPr>
        <w:t>by pathology laborator</w:t>
      </w:r>
      <w:r w:rsidR="009658F5">
        <w:rPr>
          <w:rFonts w:ascii="Calibri" w:hAnsi="Calibri" w:cs="Calibri"/>
          <w:sz w:val="24"/>
          <w:szCs w:val="24"/>
        </w:rPr>
        <w:t xml:space="preserve">ies. </w:t>
      </w:r>
      <w:r>
        <w:rPr>
          <w:rFonts w:ascii="Calibri" w:hAnsi="Calibri" w:cs="Calibri"/>
          <w:sz w:val="24"/>
          <w:szCs w:val="24"/>
        </w:rPr>
        <w:t>Histology results are stored</w:t>
      </w:r>
      <w:r w:rsidR="00130B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using </w:t>
      </w:r>
      <w:r w:rsidR="00B05237">
        <w:rPr>
          <w:rFonts w:ascii="Calibri" w:hAnsi="Calibri" w:cs="Calibri"/>
          <w:sz w:val="24"/>
          <w:szCs w:val="24"/>
        </w:rPr>
        <w:t>National Cervical Screening Program Data dictionary (Histology)</w:t>
      </w:r>
      <w:r>
        <w:rPr>
          <w:rFonts w:ascii="Calibri" w:hAnsi="Calibri" w:cs="Calibri"/>
          <w:sz w:val="24"/>
          <w:szCs w:val="24"/>
        </w:rPr>
        <w:t xml:space="preserve"> terminology. </w:t>
      </w:r>
      <w:r w:rsidR="009658F5">
        <w:rPr>
          <w:rFonts w:ascii="Calibri" w:hAnsi="Calibri" w:cs="Calibri"/>
          <w:sz w:val="24"/>
          <w:szCs w:val="24"/>
        </w:rPr>
        <w:t xml:space="preserve">Histology results contain </w:t>
      </w:r>
      <w:r w:rsidR="00DB0EE4">
        <w:rPr>
          <w:rFonts w:ascii="Calibri" w:hAnsi="Calibri" w:cs="Calibri"/>
          <w:sz w:val="24"/>
          <w:szCs w:val="24"/>
        </w:rPr>
        <w:t xml:space="preserve">up to </w:t>
      </w:r>
      <w:r w:rsidR="00AA0BA7">
        <w:rPr>
          <w:rFonts w:ascii="Calibri" w:hAnsi="Calibri" w:cs="Calibri"/>
          <w:sz w:val="24"/>
          <w:szCs w:val="24"/>
        </w:rPr>
        <w:t xml:space="preserve">7 </w:t>
      </w:r>
      <w:r w:rsidR="00DB0EE4">
        <w:rPr>
          <w:rFonts w:ascii="Calibri" w:hAnsi="Calibri" w:cs="Calibri"/>
          <w:sz w:val="24"/>
          <w:szCs w:val="24"/>
        </w:rPr>
        <w:t>code</w:t>
      </w:r>
      <w:r w:rsidR="00AA0BA7">
        <w:rPr>
          <w:rFonts w:ascii="Calibri" w:hAnsi="Calibri" w:cs="Calibri"/>
          <w:sz w:val="24"/>
          <w:szCs w:val="24"/>
        </w:rPr>
        <w:t xml:space="preserve"> fields</w:t>
      </w:r>
      <w:r w:rsidR="00DB0EE4">
        <w:rPr>
          <w:rFonts w:ascii="Calibri" w:hAnsi="Calibri" w:cs="Calibri"/>
          <w:sz w:val="24"/>
          <w:szCs w:val="24"/>
        </w:rPr>
        <w:t>, including at least one</w:t>
      </w:r>
      <w:r w:rsidR="009658F5">
        <w:rPr>
          <w:rFonts w:ascii="Calibri" w:hAnsi="Calibri" w:cs="Calibri"/>
          <w:sz w:val="24"/>
          <w:szCs w:val="24"/>
        </w:rPr>
        <w:t xml:space="preserve"> cervical </w:t>
      </w:r>
      <w:r w:rsidR="000B388F">
        <w:rPr>
          <w:rFonts w:ascii="Calibri" w:hAnsi="Calibri" w:cs="Calibri"/>
          <w:sz w:val="24"/>
          <w:szCs w:val="24"/>
        </w:rPr>
        <w:t>t</w:t>
      </w:r>
      <w:r w:rsidR="009658F5">
        <w:rPr>
          <w:rFonts w:ascii="Calibri" w:hAnsi="Calibri" w:cs="Calibri"/>
          <w:sz w:val="24"/>
          <w:szCs w:val="24"/>
        </w:rPr>
        <w:t>opography code</w:t>
      </w:r>
      <w:r w:rsidR="00A722C7">
        <w:rPr>
          <w:rFonts w:ascii="Calibri" w:hAnsi="Calibri" w:cs="Calibri"/>
          <w:sz w:val="24"/>
          <w:szCs w:val="24"/>
        </w:rPr>
        <w:t xml:space="preserve"> related to the cervical component</w:t>
      </w:r>
      <w:r w:rsidR="009658F5">
        <w:rPr>
          <w:rFonts w:ascii="Calibri" w:hAnsi="Calibri" w:cs="Calibri"/>
          <w:sz w:val="24"/>
          <w:szCs w:val="24"/>
        </w:rPr>
        <w:t xml:space="preserve">. Aetiology codes and </w:t>
      </w:r>
      <w:r w:rsidR="000B388F">
        <w:rPr>
          <w:rFonts w:ascii="Calibri" w:hAnsi="Calibri" w:cs="Calibri"/>
          <w:sz w:val="24"/>
          <w:szCs w:val="24"/>
        </w:rPr>
        <w:t>p</w:t>
      </w:r>
      <w:r w:rsidR="009658F5">
        <w:rPr>
          <w:rFonts w:ascii="Calibri" w:hAnsi="Calibri" w:cs="Calibri"/>
          <w:sz w:val="24"/>
          <w:szCs w:val="24"/>
        </w:rPr>
        <w:t xml:space="preserve">rocedural codes are also accepted by the </w:t>
      </w:r>
      <w:r w:rsidR="00AA0BA7">
        <w:rPr>
          <w:rFonts w:ascii="Calibri" w:hAnsi="Calibri" w:cs="Calibri"/>
          <w:sz w:val="24"/>
          <w:szCs w:val="24"/>
        </w:rPr>
        <w:t>CSR</w:t>
      </w:r>
      <w:r w:rsidR="009658F5">
        <w:rPr>
          <w:rFonts w:ascii="Calibri" w:hAnsi="Calibri" w:cs="Calibri"/>
          <w:sz w:val="24"/>
          <w:szCs w:val="24"/>
        </w:rPr>
        <w:t xml:space="preserve">. </w:t>
      </w:r>
    </w:p>
    <w:p w:rsidR="00133112" w:rsidRDefault="00133112" w:rsidP="0073170E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9658F5" w:rsidRDefault="009658F5" w:rsidP="0073170E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  <w:r w:rsidRPr="006321D1">
        <w:rPr>
          <w:rFonts w:ascii="Calibri" w:hAnsi="Calibri" w:cs="Calibri"/>
          <w:i/>
          <w:sz w:val="24"/>
          <w:szCs w:val="24"/>
        </w:rPr>
        <w:lastRenderedPageBreak/>
        <w:t xml:space="preserve">The </w:t>
      </w:r>
      <w:r w:rsidR="00AA0BA7">
        <w:rPr>
          <w:rFonts w:ascii="Calibri" w:hAnsi="Calibri" w:cs="Calibri"/>
          <w:i/>
          <w:sz w:val="24"/>
          <w:szCs w:val="24"/>
        </w:rPr>
        <w:t>CSR</w:t>
      </w:r>
      <w:r w:rsidR="00AA0BA7" w:rsidRPr="006321D1">
        <w:rPr>
          <w:rFonts w:ascii="Calibri" w:hAnsi="Calibri" w:cs="Calibri"/>
          <w:i/>
          <w:sz w:val="24"/>
          <w:szCs w:val="24"/>
        </w:rPr>
        <w:t xml:space="preserve"> </w:t>
      </w:r>
      <w:r w:rsidRPr="006321D1">
        <w:rPr>
          <w:rFonts w:ascii="Calibri" w:hAnsi="Calibri" w:cs="Calibri"/>
          <w:i/>
          <w:sz w:val="24"/>
          <w:szCs w:val="24"/>
        </w:rPr>
        <w:t>is able to supply the</w:t>
      </w:r>
      <w:r w:rsidR="006321D1" w:rsidRPr="006321D1">
        <w:rPr>
          <w:rFonts w:ascii="Calibri" w:hAnsi="Calibri" w:cs="Calibri"/>
          <w:i/>
          <w:sz w:val="24"/>
          <w:szCs w:val="24"/>
        </w:rPr>
        <w:t xml:space="preserve"> overall histology result group or</w:t>
      </w:r>
      <w:r w:rsidRPr="006321D1">
        <w:rPr>
          <w:rFonts w:ascii="Calibri" w:hAnsi="Calibri" w:cs="Calibri"/>
          <w:i/>
          <w:sz w:val="24"/>
          <w:szCs w:val="24"/>
        </w:rPr>
        <w:t xml:space="preserve"> individual histology codes</w:t>
      </w:r>
      <w:r w:rsidR="005A2BE1" w:rsidRPr="006321D1">
        <w:rPr>
          <w:rFonts w:ascii="Calibri" w:hAnsi="Calibri" w:cs="Calibri"/>
          <w:i/>
          <w:sz w:val="24"/>
          <w:szCs w:val="24"/>
        </w:rPr>
        <w:t xml:space="preserve"> </w:t>
      </w:r>
      <w:r w:rsidRPr="006321D1">
        <w:rPr>
          <w:rFonts w:ascii="Calibri" w:hAnsi="Calibri" w:cs="Calibri"/>
          <w:i/>
          <w:sz w:val="24"/>
          <w:szCs w:val="24"/>
        </w:rPr>
        <w:t>on request</w:t>
      </w:r>
      <w:r w:rsidR="002433B2" w:rsidRPr="006321D1">
        <w:rPr>
          <w:rFonts w:ascii="Calibri" w:hAnsi="Calibri" w:cs="Calibri"/>
          <w:i/>
          <w:sz w:val="24"/>
          <w:szCs w:val="24"/>
        </w:rPr>
        <w:t>.</w:t>
      </w:r>
      <w:r w:rsidR="001225DA">
        <w:rPr>
          <w:rFonts w:ascii="Calibri" w:hAnsi="Calibri" w:cs="Calibri"/>
          <w:sz w:val="24"/>
          <w:szCs w:val="24"/>
        </w:rPr>
        <w:t xml:space="preserve"> </w:t>
      </w:r>
    </w:p>
    <w:p w:rsidR="002433B2" w:rsidRDefault="002433B2" w:rsidP="0073170E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2433B2" w:rsidRDefault="00AA0BA7" w:rsidP="002433B2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Histology results are supplied to the Register in plain text and coded by Registry staff </w:t>
      </w:r>
    </w:p>
    <w:p w:rsidR="002433B2" w:rsidRPr="002433B2" w:rsidRDefault="002433B2" w:rsidP="002433B2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Notes: </w:t>
      </w:r>
    </w:p>
    <w:p w:rsidR="003E4CA8" w:rsidRDefault="00325789" w:rsidP="0078051B">
      <w:pPr>
        <w:pStyle w:val="ListParagraph"/>
        <w:numPr>
          <w:ilvl w:val="0"/>
          <w:numId w:val="7"/>
        </w:numPr>
        <w:spacing w:line="240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Histology </w:t>
      </w:r>
      <w:r w:rsidR="000B388F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 xml:space="preserve">rocedure codes are </w:t>
      </w:r>
      <w:r w:rsidR="009658F5">
        <w:rPr>
          <w:rFonts w:ascii="Calibri" w:hAnsi="Calibri" w:cs="Calibri"/>
          <w:sz w:val="24"/>
          <w:szCs w:val="24"/>
        </w:rPr>
        <w:t>co</w:t>
      </w:r>
      <w:r w:rsidR="005A2BE1">
        <w:rPr>
          <w:rFonts w:ascii="Calibri" w:hAnsi="Calibri" w:cs="Calibri"/>
          <w:sz w:val="24"/>
          <w:szCs w:val="24"/>
        </w:rPr>
        <w:t>nsistent</w:t>
      </w:r>
      <w:r w:rsidR="009658F5">
        <w:rPr>
          <w:rFonts w:ascii="Calibri" w:hAnsi="Calibri" w:cs="Calibri"/>
          <w:sz w:val="24"/>
          <w:szCs w:val="24"/>
        </w:rPr>
        <w:t>ly</w:t>
      </w:r>
      <w:r>
        <w:rPr>
          <w:rFonts w:ascii="Calibri" w:hAnsi="Calibri" w:cs="Calibri"/>
          <w:sz w:val="24"/>
          <w:szCs w:val="24"/>
        </w:rPr>
        <w:t xml:space="preserve"> supplied </w:t>
      </w:r>
      <w:r w:rsidR="003E4CA8">
        <w:rPr>
          <w:rFonts w:ascii="Calibri" w:hAnsi="Calibri" w:cs="Calibri"/>
          <w:sz w:val="24"/>
          <w:szCs w:val="24"/>
        </w:rPr>
        <w:t xml:space="preserve">to the </w:t>
      </w:r>
      <w:r w:rsidR="000B388F">
        <w:rPr>
          <w:rFonts w:ascii="Calibri" w:hAnsi="Calibri" w:cs="Calibri"/>
          <w:sz w:val="24"/>
          <w:szCs w:val="24"/>
        </w:rPr>
        <w:t xml:space="preserve">CSR </w:t>
      </w:r>
      <w:r w:rsidR="00334AA0">
        <w:rPr>
          <w:rFonts w:ascii="Calibri" w:hAnsi="Calibri" w:cs="Calibri"/>
          <w:sz w:val="24"/>
          <w:szCs w:val="24"/>
        </w:rPr>
        <w:t xml:space="preserve">and should be treated as complete </w:t>
      </w:r>
      <w:r>
        <w:rPr>
          <w:rFonts w:ascii="Calibri" w:hAnsi="Calibri" w:cs="Calibri"/>
          <w:sz w:val="24"/>
          <w:szCs w:val="24"/>
        </w:rPr>
        <w:t xml:space="preserve">– so it is always possible to </w:t>
      </w:r>
      <w:r w:rsidR="005A2BE1">
        <w:rPr>
          <w:rFonts w:ascii="Calibri" w:hAnsi="Calibri" w:cs="Calibri"/>
          <w:sz w:val="24"/>
          <w:szCs w:val="24"/>
        </w:rPr>
        <w:t>identify</w:t>
      </w:r>
      <w:r>
        <w:rPr>
          <w:rFonts w:ascii="Calibri" w:hAnsi="Calibri" w:cs="Calibri"/>
          <w:sz w:val="24"/>
          <w:szCs w:val="24"/>
        </w:rPr>
        <w:t xml:space="preserve"> the </w:t>
      </w:r>
      <w:r w:rsidR="005A2BE1">
        <w:rPr>
          <w:rFonts w:ascii="Calibri" w:hAnsi="Calibri" w:cs="Calibri"/>
          <w:sz w:val="24"/>
          <w:szCs w:val="24"/>
        </w:rPr>
        <w:t xml:space="preserve">procedure that has been performed </w:t>
      </w:r>
      <w:r>
        <w:rPr>
          <w:rFonts w:ascii="Calibri" w:hAnsi="Calibri" w:cs="Calibri"/>
          <w:sz w:val="24"/>
          <w:szCs w:val="24"/>
        </w:rPr>
        <w:t>e.g. biopsy type, LOOP electro excision of cervix, curettage or hysterectomy.</w:t>
      </w:r>
    </w:p>
    <w:p w:rsidR="00E11451" w:rsidRDefault="00E11451" w:rsidP="00C651AA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2433B2" w:rsidRDefault="002433B2" w:rsidP="00C651AA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C651AA" w:rsidRPr="003B429E" w:rsidRDefault="00C651AA" w:rsidP="003B429E">
      <w:pPr>
        <w:pStyle w:val="ListParagraph"/>
        <w:spacing w:line="240" w:lineRule="auto"/>
        <w:ind w:left="0"/>
        <w:rPr>
          <w:rFonts w:ascii="Calibri" w:hAnsi="Calibri" w:cs="Calibri"/>
          <w:b/>
          <w:sz w:val="24"/>
          <w:szCs w:val="24"/>
        </w:rPr>
      </w:pPr>
      <w:r w:rsidRPr="00E11451">
        <w:rPr>
          <w:rFonts w:ascii="Calibri" w:hAnsi="Calibri" w:cs="Calibri"/>
          <w:b/>
          <w:sz w:val="24"/>
          <w:szCs w:val="24"/>
        </w:rPr>
        <w:t>Colposcopy information:</w:t>
      </w:r>
      <w:r w:rsidR="00CE0881">
        <w:rPr>
          <w:rFonts w:ascii="Calibri" w:hAnsi="Calibri" w:cs="Calibri"/>
          <w:b/>
          <w:sz w:val="24"/>
          <w:szCs w:val="24"/>
        </w:rPr>
        <w:t xml:space="preserve"> </w:t>
      </w:r>
      <w:r w:rsidR="00AA0BA7">
        <w:rPr>
          <w:rFonts w:ascii="Calibri" w:hAnsi="Calibri" w:cs="Calibri"/>
          <w:sz w:val="24"/>
          <w:szCs w:val="24"/>
        </w:rPr>
        <w:t xml:space="preserve">Results </w:t>
      </w:r>
      <w:r w:rsidR="009658F5">
        <w:rPr>
          <w:rFonts w:ascii="Calibri" w:hAnsi="Calibri" w:cs="Calibri"/>
          <w:sz w:val="24"/>
          <w:szCs w:val="24"/>
        </w:rPr>
        <w:t xml:space="preserve">are not </w:t>
      </w:r>
      <w:r w:rsidR="001F1664">
        <w:rPr>
          <w:rFonts w:ascii="Calibri" w:hAnsi="Calibri" w:cs="Calibri"/>
          <w:sz w:val="24"/>
          <w:szCs w:val="24"/>
        </w:rPr>
        <w:t xml:space="preserve">yet reported to the </w:t>
      </w:r>
      <w:r w:rsidR="00AA0BA7">
        <w:rPr>
          <w:rFonts w:ascii="Calibri" w:hAnsi="Calibri" w:cs="Calibri"/>
          <w:sz w:val="24"/>
          <w:szCs w:val="24"/>
        </w:rPr>
        <w:t>CSR</w:t>
      </w:r>
      <w:r w:rsidR="009658F5">
        <w:rPr>
          <w:rFonts w:ascii="Calibri" w:hAnsi="Calibri" w:cs="Calibri"/>
          <w:sz w:val="24"/>
          <w:szCs w:val="24"/>
        </w:rPr>
        <w:t>.</w:t>
      </w:r>
      <w:r w:rsidR="001F1664">
        <w:rPr>
          <w:rFonts w:ascii="Calibri" w:hAnsi="Calibri" w:cs="Calibri"/>
          <w:sz w:val="24"/>
          <w:szCs w:val="24"/>
        </w:rPr>
        <w:t xml:space="preserve"> </w:t>
      </w:r>
    </w:p>
    <w:p w:rsidR="009658F5" w:rsidRDefault="009658F5" w:rsidP="003B429E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3B429E" w:rsidRDefault="003B429E" w:rsidP="003B429E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477910" w:rsidRDefault="00477910" w:rsidP="00477910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  <w:r w:rsidRPr="00477910">
        <w:rPr>
          <w:rFonts w:ascii="Calibri" w:hAnsi="Calibri" w:cs="Calibri"/>
          <w:b/>
          <w:sz w:val="24"/>
          <w:szCs w:val="24"/>
        </w:rPr>
        <w:t>HPV Test Results:</w:t>
      </w:r>
      <w:r>
        <w:rPr>
          <w:rFonts w:ascii="Calibri" w:hAnsi="Calibri" w:cs="Calibri"/>
          <w:sz w:val="24"/>
          <w:szCs w:val="24"/>
        </w:rPr>
        <w:t xml:space="preserve"> Cervical HPV test results are routinely provided to the </w:t>
      </w:r>
      <w:r w:rsidR="00AA0BA7">
        <w:rPr>
          <w:rFonts w:ascii="Calibri" w:hAnsi="Calibri" w:cs="Calibri"/>
          <w:sz w:val="24"/>
          <w:szCs w:val="24"/>
        </w:rPr>
        <w:t xml:space="preserve">CSR </w:t>
      </w:r>
      <w:r>
        <w:rPr>
          <w:rFonts w:ascii="Calibri" w:hAnsi="Calibri" w:cs="Calibri"/>
          <w:sz w:val="24"/>
          <w:szCs w:val="24"/>
        </w:rPr>
        <w:t>by pathology laboratories</w:t>
      </w:r>
      <w:r w:rsidR="00AA0BA7">
        <w:rPr>
          <w:rFonts w:ascii="Calibri" w:hAnsi="Calibri" w:cs="Calibri"/>
          <w:sz w:val="24"/>
          <w:szCs w:val="24"/>
        </w:rPr>
        <w:t xml:space="preserve"> as part of the </w:t>
      </w:r>
      <w:r w:rsidR="000B388F">
        <w:rPr>
          <w:rFonts w:ascii="Calibri" w:hAnsi="Calibri" w:cs="Calibri"/>
          <w:sz w:val="24"/>
          <w:szCs w:val="24"/>
        </w:rPr>
        <w:t>‘</w:t>
      </w:r>
      <w:r w:rsidR="00AA0BA7">
        <w:rPr>
          <w:rFonts w:ascii="Calibri" w:hAnsi="Calibri" w:cs="Calibri"/>
          <w:sz w:val="24"/>
          <w:szCs w:val="24"/>
        </w:rPr>
        <w:t>test of cure</w:t>
      </w:r>
      <w:r w:rsidR="000B388F">
        <w:rPr>
          <w:rFonts w:ascii="Calibri" w:hAnsi="Calibri" w:cs="Calibri"/>
          <w:sz w:val="24"/>
          <w:szCs w:val="24"/>
        </w:rPr>
        <w:t>’</w:t>
      </w:r>
      <w:r>
        <w:rPr>
          <w:rFonts w:ascii="Calibri" w:hAnsi="Calibri" w:cs="Calibri"/>
          <w:sz w:val="24"/>
          <w:szCs w:val="24"/>
        </w:rPr>
        <w:t xml:space="preserve">. HPV results are stored using </w:t>
      </w:r>
      <w:r w:rsidR="00B6365E">
        <w:rPr>
          <w:rFonts w:ascii="Calibri" w:hAnsi="Calibri" w:cs="Calibri"/>
          <w:sz w:val="24"/>
          <w:szCs w:val="24"/>
        </w:rPr>
        <w:t xml:space="preserve">a coding schedule developed </w:t>
      </w:r>
      <w:r w:rsidR="00AA148C">
        <w:rPr>
          <w:rFonts w:ascii="Calibri" w:hAnsi="Calibri" w:cs="Calibri"/>
          <w:sz w:val="24"/>
          <w:szCs w:val="24"/>
        </w:rPr>
        <w:t xml:space="preserve">in consultation with other </w:t>
      </w:r>
      <w:r w:rsidR="000B388F">
        <w:rPr>
          <w:rFonts w:ascii="Calibri" w:hAnsi="Calibri" w:cs="Calibri"/>
          <w:sz w:val="24"/>
          <w:szCs w:val="24"/>
        </w:rPr>
        <w:t>state and territory cervical screening r</w:t>
      </w:r>
      <w:r w:rsidR="00AA148C">
        <w:rPr>
          <w:rFonts w:ascii="Calibri" w:hAnsi="Calibri" w:cs="Calibri"/>
          <w:sz w:val="24"/>
          <w:szCs w:val="24"/>
        </w:rPr>
        <w:t>egisters</w:t>
      </w:r>
      <w:r>
        <w:rPr>
          <w:rFonts w:ascii="Calibri" w:hAnsi="Calibri" w:cs="Calibri"/>
          <w:sz w:val="24"/>
          <w:szCs w:val="24"/>
        </w:rPr>
        <w:t xml:space="preserve">. </w:t>
      </w:r>
      <w:r w:rsidR="00B6365E">
        <w:rPr>
          <w:rFonts w:ascii="Calibri" w:hAnsi="Calibri" w:cs="Calibri"/>
          <w:sz w:val="24"/>
          <w:szCs w:val="24"/>
        </w:rPr>
        <w:t>HPV</w:t>
      </w:r>
      <w:r>
        <w:rPr>
          <w:rFonts w:ascii="Calibri" w:hAnsi="Calibri" w:cs="Calibri"/>
          <w:sz w:val="24"/>
          <w:szCs w:val="24"/>
        </w:rPr>
        <w:t xml:space="preserve"> results contain </w:t>
      </w:r>
      <w:r w:rsidR="00B6365E">
        <w:rPr>
          <w:rFonts w:ascii="Calibri" w:hAnsi="Calibri" w:cs="Calibri"/>
          <w:sz w:val="24"/>
          <w:szCs w:val="24"/>
        </w:rPr>
        <w:t>information about the test type, test result and sampling method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477910" w:rsidRDefault="004A7C01" w:rsidP="004A7C01">
      <w:pPr>
        <w:pStyle w:val="ListParagraph"/>
        <w:tabs>
          <w:tab w:val="left" w:pos="5693"/>
        </w:tabs>
        <w:spacing w:line="240" w:lineRule="auto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7F5498" w:rsidRDefault="007F5498" w:rsidP="003B429E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2F480F" w:rsidRDefault="002F480F" w:rsidP="00E11451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  <w:r w:rsidRPr="00E11451">
        <w:rPr>
          <w:rFonts w:ascii="Calibri" w:hAnsi="Calibri" w:cs="Calibri"/>
          <w:b/>
          <w:sz w:val="24"/>
          <w:szCs w:val="24"/>
        </w:rPr>
        <w:t>HPV Vaccination status</w:t>
      </w:r>
      <w:r w:rsidR="00E11451" w:rsidRPr="00E11451">
        <w:rPr>
          <w:rFonts w:ascii="Calibri" w:hAnsi="Calibri" w:cs="Calibri"/>
          <w:b/>
          <w:sz w:val="24"/>
          <w:szCs w:val="24"/>
        </w:rPr>
        <w:t>:</w:t>
      </w:r>
      <w:r w:rsidR="00E11451">
        <w:rPr>
          <w:rFonts w:ascii="Calibri" w:hAnsi="Calibri" w:cs="Calibri"/>
          <w:sz w:val="24"/>
          <w:szCs w:val="24"/>
        </w:rPr>
        <w:t xml:space="preserve"> The </w:t>
      </w:r>
      <w:r w:rsidR="00E2473B">
        <w:rPr>
          <w:rFonts w:ascii="Calibri" w:hAnsi="Calibri" w:cs="Calibri"/>
          <w:sz w:val="24"/>
          <w:szCs w:val="24"/>
        </w:rPr>
        <w:t xml:space="preserve">CSR </w:t>
      </w:r>
      <w:r w:rsidR="00E11451">
        <w:rPr>
          <w:rFonts w:ascii="Calibri" w:hAnsi="Calibri" w:cs="Calibri"/>
          <w:sz w:val="24"/>
          <w:szCs w:val="24"/>
        </w:rPr>
        <w:t>does not yet routinely collect information about HPV vaccination status.</w:t>
      </w:r>
    </w:p>
    <w:p w:rsidR="00087354" w:rsidRPr="00AC733E" w:rsidRDefault="00087354" w:rsidP="00E11451">
      <w:pPr>
        <w:pStyle w:val="ListParagraph"/>
        <w:spacing w:line="240" w:lineRule="auto"/>
        <w:ind w:left="0"/>
        <w:rPr>
          <w:rFonts w:ascii="Calibri" w:hAnsi="Calibri" w:cs="Calibri"/>
          <w:sz w:val="24"/>
          <w:szCs w:val="24"/>
        </w:rPr>
      </w:pPr>
    </w:p>
    <w:p w:rsidR="00A40D9F" w:rsidRPr="00BA4393" w:rsidRDefault="00A40D9F" w:rsidP="00F83DDD">
      <w:pPr>
        <w:rPr>
          <w:rFonts w:ascii="Calibri" w:hAnsi="Calibri" w:cs="Calibri"/>
          <w:b/>
          <w:bCs/>
          <w:color w:val="3E3E67"/>
          <w:sz w:val="24"/>
          <w:szCs w:val="24"/>
        </w:rPr>
      </w:pPr>
    </w:p>
    <w:p w:rsidR="00F83DDD" w:rsidRPr="000F050A" w:rsidRDefault="00E2473B" w:rsidP="000669A2">
      <w:pPr>
        <w:pStyle w:val="Heading1"/>
      </w:pPr>
      <w:r>
        <w:t xml:space="preserve">ACT Cervical Screening </w:t>
      </w:r>
      <w:r w:rsidR="004E6AC1">
        <w:t>Register Data C</w:t>
      </w:r>
      <w:r w:rsidR="00F83DDD" w:rsidRPr="000F050A">
        <w:t>ustodian</w:t>
      </w:r>
    </w:p>
    <w:p w:rsidR="00B00687" w:rsidRPr="000F050A" w:rsidRDefault="00B00687" w:rsidP="000F050A">
      <w:pPr>
        <w:spacing w:line="240" w:lineRule="auto"/>
        <w:rPr>
          <w:rFonts w:ascii="Calibri" w:hAnsi="Calibri" w:cs="Arial"/>
          <w:color w:val="000000"/>
          <w:sz w:val="24"/>
          <w:szCs w:val="24"/>
        </w:rPr>
      </w:pPr>
      <w:r w:rsidRPr="000F050A">
        <w:rPr>
          <w:rFonts w:ascii="Calibri" w:hAnsi="Calibri" w:cs="Arial"/>
          <w:color w:val="000000"/>
          <w:sz w:val="24"/>
          <w:szCs w:val="24"/>
        </w:rPr>
        <w:t xml:space="preserve">The </w:t>
      </w:r>
      <w:r w:rsidR="00E2473B">
        <w:rPr>
          <w:rFonts w:ascii="Calibri" w:hAnsi="Calibri" w:cs="Arial"/>
          <w:color w:val="000000"/>
          <w:sz w:val="24"/>
          <w:szCs w:val="24"/>
        </w:rPr>
        <w:t>ACT Chief Health Officer</w:t>
      </w:r>
      <w:r w:rsidRPr="000F050A">
        <w:rPr>
          <w:rFonts w:ascii="Calibri" w:hAnsi="Calibri" w:cs="Arial"/>
          <w:color w:val="000000"/>
          <w:sz w:val="24"/>
          <w:szCs w:val="24"/>
        </w:rPr>
        <w:t xml:space="preserve"> is the data custodian of </w:t>
      </w:r>
      <w:r w:rsidR="00E2473B">
        <w:rPr>
          <w:rFonts w:ascii="Calibri" w:hAnsi="Calibri" w:cs="Arial"/>
          <w:color w:val="000000"/>
          <w:sz w:val="24"/>
          <w:szCs w:val="24"/>
        </w:rPr>
        <w:t xml:space="preserve">ACT Cervical Screening </w:t>
      </w:r>
      <w:r w:rsidR="003A316B">
        <w:rPr>
          <w:rFonts w:ascii="Calibri" w:hAnsi="Calibri" w:cs="Arial"/>
          <w:color w:val="000000"/>
          <w:sz w:val="24"/>
          <w:szCs w:val="24"/>
        </w:rPr>
        <w:t>Register</w:t>
      </w:r>
      <w:r w:rsidRPr="000F050A">
        <w:rPr>
          <w:rFonts w:ascii="Calibri" w:hAnsi="Calibri" w:cs="Arial"/>
          <w:color w:val="000000"/>
          <w:sz w:val="24"/>
          <w:szCs w:val="24"/>
        </w:rPr>
        <w:t xml:space="preserve"> data.</w:t>
      </w:r>
      <w:r w:rsidR="000C7E39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0F050A">
        <w:rPr>
          <w:rFonts w:ascii="Calibri" w:hAnsi="Calibri" w:cs="Arial"/>
          <w:color w:val="000000"/>
          <w:sz w:val="24"/>
          <w:szCs w:val="24"/>
        </w:rPr>
        <w:t xml:space="preserve">The CHeReL organises data custodian sign-off for </w:t>
      </w:r>
      <w:r w:rsidR="00E2473B">
        <w:rPr>
          <w:rFonts w:ascii="Calibri" w:hAnsi="Calibri" w:cs="Arial"/>
          <w:color w:val="000000"/>
          <w:sz w:val="24"/>
          <w:szCs w:val="24"/>
        </w:rPr>
        <w:t>CSR</w:t>
      </w:r>
      <w:r w:rsidR="00E2473B" w:rsidRPr="000F050A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6A48B0" w:rsidRPr="000F050A">
        <w:rPr>
          <w:rFonts w:ascii="Calibri" w:hAnsi="Calibri" w:cs="Arial"/>
          <w:color w:val="000000"/>
          <w:sz w:val="24"/>
          <w:szCs w:val="24"/>
        </w:rPr>
        <w:t>on behalf of the researcher</w:t>
      </w:r>
      <w:r w:rsidRPr="000F050A">
        <w:rPr>
          <w:rFonts w:ascii="Calibri" w:hAnsi="Calibri" w:cs="Arial"/>
          <w:color w:val="000000"/>
          <w:sz w:val="24"/>
          <w:szCs w:val="24"/>
        </w:rPr>
        <w:t>.</w:t>
      </w:r>
      <w:r w:rsidR="000C7E39">
        <w:rPr>
          <w:rFonts w:ascii="Calibri" w:hAnsi="Calibri" w:cs="Arial"/>
          <w:color w:val="000000"/>
          <w:sz w:val="24"/>
          <w:szCs w:val="24"/>
        </w:rPr>
        <w:t xml:space="preserve"> </w:t>
      </w:r>
      <w:r w:rsidRPr="000F050A">
        <w:rPr>
          <w:rFonts w:ascii="Calibri" w:hAnsi="Calibri" w:cs="Arial"/>
          <w:color w:val="000000"/>
          <w:sz w:val="24"/>
          <w:szCs w:val="24"/>
        </w:rPr>
        <w:t>To arrange sign-off, please contact:</w:t>
      </w:r>
    </w:p>
    <w:p w:rsidR="00B00687" w:rsidRPr="000F050A" w:rsidRDefault="00B00687" w:rsidP="000F050A">
      <w:pPr>
        <w:spacing w:after="0" w:line="240" w:lineRule="auto"/>
        <w:rPr>
          <w:rFonts w:ascii="Calibri" w:hAnsi="Calibri" w:cs="Arial"/>
          <w:color w:val="000000"/>
          <w:sz w:val="24"/>
          <w:szCs w:val="24"/>
        </w:rPr>
      </w:pPr>
      <w:r w:rsidRPr="000F050A">
        <w:rPr>
          <w:rFonts w:ascii="Calibri" w:hAnsi="Calibri" w:cs="Arial"/>
          <w:color w:val="000000"/>
          <w:sz w:val="24"/>
          <w:szCs w:val="24"/>
        </w:rPr>
        <w:t>Centre for Health Record Linkage</w:t>
      </w:r>
    </w:p>
    <w:p w:rsidR="00F83DDD" w:rsidRDefault="00062894" w:rsidP="00BF4C97">
      <w:pPr>
        <w:spacing w:after="0" w:line="240" w:lineRule="auto"/>
        <w:rPr>
          <w:rFonts w:ascii="Calibri" w:hAnsi="Calibri" w:cs="Arial"/>
          <w:color w:val="000000"/>
          <w:sz w:val="24"/>
          <w:szCs w:val="24"/>
        </w:rPr>
      </w:pPr>
      <w:hyperlink r:id="rId10" w:history="1">
        <w:r w:rsidR="0067646A" w:rsidRPr="00A119F9">
          <w:rPr>
            <w:rStyle w:val="Hyperlink"/>
            <w:rFonts w:ascii="Calibri" w:hAnsi="Calibri" w:cs="Arial"/>
            <w:sz w:val="24"/>
            <w:szCs w:val="24"/>
          </w:rPr>
          <w:t>Cherel.mail@moh.health.nsw.gov.au</w:t>
        </w:r>
      </w:hyperlink>
      <w:r w:rsidR="00BF4C97">
        <w:rPr>
          <w:rFonts w:ascii="Calibri" w:hAnsi="Calibri" w:cs="Arial"/>
          <w:color w:val="000000"/>
          <w:sz w:val="24"/>
          <w:szCs w:val="24"/>
        </w:rPr>
        <w:t xml:space="preserve"> or 02 9391 9924</w:t>
      </w:r>
    </w:p>
    <w:p w:rsidR="00465D9D" w:rsidRDefault="00465D9D" w:rsidP="00BF4C97">
      <w:pPr>
        <w:spacing w:after="0" w:line="240" w:lineRule="auto"/>
        <w:rPr>
          <w:rFonts w:ascii="Calibri" w:hAnsi="Calibri" w:cs="Arial"/>
          <w:color w:val="000000"/>
          <w:sz w:val="24"/>
          <w:szCs w:val="24"/>
        </w:rPr>
      </w:pPr>
    </w:p>
    <w:p w:rsidR="00A24D4A" w:rsidRDefault="00A24D4A" w:rsidP="00A579C9">
      <w:pPr>
        <w:rPr>
          <w:rFonts w:ascii="Corbel" w:hAnsi="Corbel"/>
          <w:b/>
          <w:bCs/>
          <w:color w:val="3E3E67"/>
          <w:sz w:val="28"/>
          <w:szCs w:val="28"/>
        </w:rPr>
      </w:pPr>
      <w:bookmarkStart w:id="0" w:name="OLE_LINK1"/>
      <w:bookmarkStart w:id="1" w:name="OLE_LINK2"/>
    </w:p>
    <w:p w:rsidR="003B429E" w:rsidRDefault="00A579C9" w:rsidP="000669A2">
      <w:pPr>
        <w:pStyle w:val="Heading1"/>
      </w:pPr>
      <w:r>
        <w:t>Non-</w:t>
      </w:r>
      <w:r w:rsidR="006336FB">
        <w:t>record-linkage</w:t>
      </w:r>
      <w:r>
        <w:t xml:space="preserve"> requests for </w:t>
      </w:r>
      <w:r w:rsidR="00E2473B">
        <w:t>Cervical Screening</w:t>
      </w:r>
      <w:r>
        <w:t xml:space="preserve"> Register data</w:t>
      </w:r>
    </w:p>
    <w:p w:rsidR="00E13A0E" w:rsidRDefault="00E13A0E" w:rsidP="00E13A0E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Persons requesting </w:t>
      </w:r>
      <w:r w:rsidR="000B388F">
        <w:rPr>
          <w:rFonts w:ascii="Calibri" w:hAnsi="Calibri"/>
          <w:sz w:val="24"/>
          <w:szCs w:val="24"/>
        </w:rPr>
        <w:t xml:space="preserve">CSR </w:t>
      </w:r>
      <w:r>
        <w:rPr>
          <w:rFonts w:ascii="Calibri" w:hAnsi="Calibri"/>
          <w:sz w:val="24"/>
          <w:szCs w:val="24"/>
        </w:rPr>
        <w:t>data for non-</w:t>
      </w:r>
      <w:r w:rsidR="0006661E">
        <w:rPr>
          <w:rFonts w:ascii="Calibri" w:hAnsi="Calibri"/>
          <w:sz w:val="24"/>
          <w:szCs w:val="24"/>
        </w:rPr>
        <w:t>record-linkage</w:t>
      </w:r>
      <w:r>
        <w:rPr>
          <w:rFonts w:ascii="Calibri" w:hAnsi="Calibri"/>
          <w:sz w:val="24"/>
          <w:szCs w:val="24"/>
        </w:rPr>
        <w:t xml:space="preserve"> purposes (e.g. for service provision or for planning) are directed to </w:t>
      </w:r>
      <w:hyperlink r:id="rId11" w:history="1">
        <w:r w:rsidR="00E2473B" w:rsidRPr="004B7788">
          <w:rPr>
            <w:rStyle w:val="Hyperlink"/>
            <w:rFonts w:ascii="Calibri" w:hAnsi="Calibri"/>
            <w:sz w:val="24"/>
            <w:szCs w:val="24"/>
          </w:rPr>
          <w:t>submit</w:t>
        </w:r>
      </w:hyperlink>
      <w:r w:rsidR="00E2473B">
        <w:rPr>
          <w:rFonts w:ascii="Calibri" w:hAnsi="Calibri"/>
          <w:sz w:val="24"/>
          <w:szCs w:val="24"/>
        </w:rPr>
        <w:t xml:space="preserve"> a request in writing citing planned usage of the data to</w:t>
      </w:r>
      <w:r w:rsidR="000B388F">
        <w:rPr>
          <w:rFonts w:ascii="Calibri" w:hAnsi="Calibri"/>
          <w:sz w:val="24"/>
          <w:szCs w:val="24"/>
        </w:rPr>
        <w:t>:</w:t>
      </w:r>
    </w:p>
    <w:p w:rsidR="00E2473B" w:rsidRDefault="00E2473B" w:rsidP="008B59E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Chief Health Officer</w:t>
      </w:r>
    </w:p>
    <w:p w:rsidR="00E2473B" w:rsidRDefault="00E2473B" w:rsidP="008B59E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ACT Health</w:t>
      </w:r>
    </w:p>
    <w:p w:rsidR="00E2473B" w:rsidRDefault="00E2473B" w:rsidP="008B59E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GPO Box 825</w:t>
      </w:r>
    </w:p>
    <w:p w:rsidR="00E2473B" w:rsidRDefault="00E2473B" w:rsidP="008B59EF">
      <w:pPr>
        <w:spacing w:after="0"/>
        <w:rPr>
          <w:rStyle w:val="Hyperlink"/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CIVIC ACT 2601</w:t>
      </w:r>
    </w:p>
    <w:p w:rsidR="00F47FD1" w:rsidRDefault="00F47FD1" w:rsidP="004E6AC1">
      <w:pPr>
        <w:rPr>
          <w:rStyle w:val="Hyperlink"/>
          <w:rFonts w:ascii="Calibri" w:hAnsi="Calibri"/>
          <w:color w:val="auto"/>
          <w:sz w:val="24"/>
          <w:szCs w:val="24"/>
          <w:u w:val="none"/>
        </w:rPr>
      </w:pPr>
    </w:p>
    <w:p w:rsidR="004E6AC1" w:rsidRDefault="004E6AC1" w:rsidP="000669A2">
      <w:pPr>
        <w:pStyle w:val="Heading1"/>
      </w:pPr>
      <w:r>
        <w:lastRenderedPageBreak/>
        <w:t xml:space="preserve">Queries regarding </w:t>
      </w:r>
      <w:r w:rsidR="00B13DAB">
        <w:t xml:space="preserve">Cervical Screening </w:t>
      </w:r>
      <w:r>
        <w:t>Register Dataset</w:t>
      </w:r>
    </w:p>
    <w:p w:rsidR="00E2473B" w:rsidRDefault="004E6AC1" w:rsidP="00D4370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Queries related the to </w:t>
      </w:r>
      <w:r w:rsidR="00E2473B">
        <w:rPr>
          <w:rFonts w:ascii="Calibri" w:hAnsi="Calibri"/>
          <w:sz w:val="24"/>
          <w:szCs w:val="24"/>
        </w:rPr>
        <w:t>Cervical Screening</w:t>
      </w:r>
      <w:r>
        <w:rPr>
          <w:rFonts w:ascii="Calibri" w:hAnsi="Calibri"/>
          <w:sz w:val="24"/>
          <w:szCs w:val="24"/>
        </w:rPr>
        <w:t xml:space="preserve"> Register dataset may be directed to the </w:t>
      </w:r>
    </w:p>
    <w:p w:rsidR="00E2473B" w:rsidRDefault="00E2473B" w:rsidP="008B59E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Program Manager </w:t>
      </w:r>
    </w:p>
    <w:p w:rsidR="00E2473B" w:rsidRDefault="00E2473B" w:rsidP="008B59E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ACT Cervical Screening Register</w:t>
      </w:r>
      <w:r w:rsidR="004E6AC1">
        <w:rPr>
          <w:rFonts w:ascii="Calibri" w:hAnsi="Calibri"/>
          <w:sz w:val="24"/>
          <w:szCs w:val="24"/>
        </w:rPr>
        <w:t xml:space="preserve"> </w:t>
      </w:r>
    </w:p>
    <w:p w:rsidR="00E2473B" w:rsidRDefault="00E2473B" w:rsidP="008B59E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GPO Box 825</w:t>
      </w:r>
    </w:p>
    <w:p w:rsidR="00E2473B" w:rsidRDefault="00E2473B" w:rsidP="008B59EF">
      <w:pPr>
        <w:spacing w:after="1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CIVIC ACT 2601</w:t>
      </w:r>
    </w:p>
    <w:p w:rsidR="00E2473B" w:rsidRPr="00416A9C" w:rsidRDefault="00062894" w:rsidP="008B59EF">
      <w:pPr>
        <w:spacing w:after="120"/>
        <w:rPr>
          <w:rFonts w:ascii="Calibri" w:hAnsi="Calibri"/>
          <w:sz w:val="24"/>
          <w:szCs w:val="24"/>
        </w:rPr>
      </w:pPr>
      <w:hyperlink r:id="rId12" w:history="1">
        <w:r w:rsidR="00E2473B" w:rsidRPr="00416A9C">
          <w:rPr>
            <w:rFonts w:ascii="Calibri" w:hAnsi="Calibri"/>
            <w:sz w:val="24"/>
            <w:szCs w:val="24"/>
          </w:rPr>
          <w:t>cervical.screenin@adct.gov.au</w:t>
        </w:r>
      </w:hyperlink>
    </w:p>
    <w:p w:rsidR="00A026D7" w:rsidRPr="00416A9C" w:rsidRDefault="00E2473B" w:rsidP="008B59EF">
      <w:pPr>
        <w:spacing w:after="120"/>
        <w:rPr>
          <w:rFonts w:ascii="Calibri" w:hAnsi="Calibri"/>
          <w:sz w:val="24"/>
          <w:szCs w:val="24"/>
        </w:rPr>
        <w:sectPr w:rsidR="00A026D7" w:rsidRPr="00416A9C" w:rsidSect="001E3EE1">
          <w:footerReference w:type="default" r:id="rId13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  <w:r w:rsidRPr="00416A9C">
        <w:rPr>
          <w:rFonts w:ascii="Calibri" w:hAnsi="Calibri"/>
          <w:sz w:val="24"/>
          <w:szCs w:val="24"/>
        </w:rPr>
        <w:t>(02)</w:t>
      </w:r>
      <w:r w:rsidR="008B59EF">
        <w:rPr>
          <w:rFonts w:ascii="Calibri" w:hAnsi="Calibri"/>
          <w:sz w:val="24"/>
          <w:szCs w:val="24"/>
        </w:rPr>
        <w:t xml:space="preserve"> </w:t>
      </w:r>
      <w:r w:rsidRPr="00416A9C">
        <w:rPr>
          <w:rFonts w:ascii="Calibri" w:hAnsi="Calibri"/>
          <w:sz w:val="24"/>
          <w:szCs w:val="24"/>
        </w:rPr>
        <w:t>62051955</w:t>
      </w:r>
      <w:r w:rsidR="00B67C57">
        <w:rPr>
          <w:rFonts w:ascii="Calibri" w:hAnsi="Calibri"/>
          <w:sz w:val="24"/>
          <w:szCs w:val="24"/>
        </w:rPr>
        <w:t>.</w:t>
      </w:r>
    </w:p>
    <w:p w:rsidR="00F00049" w:rsidRPr="000F050A" w:rsidRDefault="008959EA" w:rsidP="000669A2">
      <w:pPr>
        <w:pStyle w:val="Heading1"/>
      </w:pPr>
      <w:r>
        <w:lastRenderedPageBreak/>
        <w:t>ACT</w:t>
      </w:r>
      <w:r w:rsidR="00B73B7D">
        <w:t xml:space="preserve"> Pap Test Register</w:t>
      </w:r>
      <w:r w:rsidR="00CA5032" w:rsidRPr="000F050A">
        <w:t xml:space="preserve"> - </w:t>
      </w:r>
      <w:r w:rsidR="005A2BE1">
        <w:t>V</w:t>
      </w:r>
      <w:r w:rsidR="00C06E0C" w:rsidRPr="000F050A">
        <w:t xml:space="preserve">ariable </w:t>
      </w:r>
      <w:r w:rsidR="005A2BE1">
        <w:t>I</w:t>
      </w:r>
      <w:r w:rsidR="00C06E0C" w:rsidRPr="000F050A">
        <w:t>nformation</w:t>
      </w:r>
    </w:p>
    <w:p w:rsidR="000D3697" w:rsidRPr="000044DE" w:rsidRDefault="000D3697" w:rsidP="000D3697">
      <w:pPr>
        <w:spacing w:before="120"/>
        <w:rPr>
          <w:rFonts w:ascii="Calibri" w:hAnsi="Calibri" w:cs="Arial"/>
        </w:rPr>
      </w:pPr>
    </w:p>
    <w:tbl>
      <w:tblPr>
        <w:tblW w:w="14425" w:type="dxa"/>
        <w:tbl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  <w:insideH w:val="single" w:sz="8" w:space="0" w:color="53548A"/>
          <w:insideV w:val="single" w:sz="8" w:space="0" w:color="53548A"/>
        </w:tblBorders>
        <w:tblLayout w:type="fixed"/>
        <w:tblLook w:val="04A0"/>
      </w:tblPr>
      <w:tblGrid>
        <w:gridCol w:w="3369"/>
        <w:gridCol w:w="3118"/>
        <w:gridCol w:w="7938"/>
      </w:tblGrid>
      <w:tr w:rsidR="0067500F" w:rsidRPr="00AC733E" w:rsidTr="0004031B">
        <w:trPr>
          <w:cantSplit/>
          <w:tblHeader/>
        </w:trPr>
        <w:tc>
          <w:tcPr>
            <w:tcW w:w="3369" w:type="dxa"/>
            <w:tcBorders>
              <w:top w:val="single" w:sz="8" w:space="0" w:color="53548A"/>
              <w:left w:val="single" w:sz="8" w:space="0" w:color="53548A"/>
              <w:bottom w:val="single" w:sz="8" w:space="0" w:color="53548A"/>
              <w:right w:val="single" w:sz="8" w:space="0" w:color="53548A"/>
            </w:tcBorders>
            <w:shd w:val="clear" w:color="auto" w:fill="3E3E67"/>
          </w:tcPr>
          <w:p w:rsidR="00CC3E07" w:rsidRPr="00AC733E" w:rsidRDefault="00CC3E07" w:rsidP="00AC733E">
            <w:pPr>
              <w:spacing w:after="0" w:line="240" w:lineRule="auto"/>
              <w:rPr>
                <w:rFonts w:ascii="Calibri" w:hAnsi="Calibri" w:cs="Arial"/>
                <w:b/>
                <w:bCs/>
                <w:color w:val="FFFFFF"/>
              </w:rPr>
            </w:pPr>
            <w:bookmarkStart w:id="2" w:name="_Hlk274311485"/>
            <w:r w:rsidRPr="00AC733E">
              <w:rPr>
                <w:rFonts w:ascii="Calibri" w:hAnsi="Calibri" w:cs="Arial"/>
                <w:b/>
                <w:bCs/>
                <w:color w:val="FFFFFF"/>
              </w:rPr>
              <w:t>Variable</w:t>
            </w:r>
          </w:p>
        </w:tc>
        <w:tc>
          <w:tcPr>
            <w:tcW w:w="3118" w:type="dxa"/>
            <w:tcBorders>
              <w:top w:val="single" w:sz="8" w:space="0" w:color="53548A"/>
              <w:left w:val="single" w:sz="8" w:space="0" w:color="53548A"/>
              <w:bottom w:val="single" w:sz="8" w:space="0" w:color="53548A"/>
              <w:right w:val="single" w:sz="8" w:space="0" w:color="53548A"/>
            </w:tcBorders>
            <w:shd w:val="clear" w:color="auto" w:fill="3E3E67"/>
          </w:tcPr>
          <w:p w:rsidR="00CC3E07" w:rsidRPr="00AC733E" w:rsidRDefault="00CC3E07" w:rsidP="00AC733E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</w:rPr>
            </w:pPr>
            <w:r w:rsidRPr="00AC733E">
              <w:rPr>
                <w:rFonts w:ascii="Calibri" w:hAnsi="Calibri" w:cs="Calibri"/>
                <w:b/>
                <w:bCs/>
                <w:color w:val="FFFFFF"/>
              </w:rPr>
              <w:t>Description/Notes</w:t>
            </w:r>
          </w:p>
        </w:tc>
        <w:tc>
          <w:tcPr>
            <w:tcW w:w="7938" w:type="dxa"/>
            <w:tcBorders>
              <w:top w:val="single" w:sz="8" w:space="0" w:color="53548A"/>
              <w:left w:val="single" w:sz="8" w:space="0" w:color="53548A"/>
              <w:bottom w:val="single" w:sz="8" w:space="0" w:color="53548A"/>
              <w:right w:val="single" w:sz="8" w:space="0" w:color="53548A"/>
            </w:tcBorders>
            <w:shd w:val="clear" w:color="auto" w:fill="3E3E67"/>
          </w:tcPr>
          <w:p w:rsidR="00CC3E07" w:rsidRPr="00AC733E" w:rsidRDefault="00E13A0E" w:rsidP="00AC733E">
            <w:pPr>
              <w:spacing w:after="0" w:line="240" w:lineRule="auto"/>
              <w:rPr>
                <w:rFonts w:ascii="Calibri" w:hAnsi="Calibri" w:cs="Arial"/>
                <w:b/>
                <w:bCs/>
                <w:color w:val="FFFFFF"/>
              </w:rPr>
            </w:pPr>
            <w:r>
              <w:rPr>
                <w:rFonts w:ascii="Calibri" w:hAnsi="Calibri" w:cs="Arial"/>
                <w:b/>
                <w:bCs/>
                <w:color w:val="FFFFFF"/>
              </w:rPr>
              <w:t>Data Values/</w:t>
            </w:r>
            <w:r w:rsidR="00CC3E07" w:rsidRPr="00AC733E">
              <w:rPr>
                <w:rFonts w:ascii="Calibri" w:hAnsi="Calibri" w:cs="Arial"/>
                <w:b/>
                <w:bCs/>
                <w:color w:val="FFFFFF"/>
              </w:rPr>
              <w:t>Codes</w:t>
            </w:r>
          </w:p>
        </w:tc>
      </w:tr>
      <w:tr w:rsidR="00685A27" w:rsidRPr="00AC733E" w:rsidTr="0004031B">
        <w:trPr>
          <w:cantSplit/>
        </w:trPr>
        <w:tc>
          <w:tcPr>
            <w:tcW w:w="14425" w:type="dxa"/>
            <w:gridSpan w:val="3"/>
            <w:tcBorders>
              <w:top w:val="single" w:sz="8" w:space="0" w:color="53548A"/>
            </w:tcBorders>
            <w:shd w:val="clear" w:color="auto" w:fill="95B3D7" w:themeFill="accent1" w:themeFillTint="99"/>
          </w:tcPr>
          <w:p w:rsidR="00685A27" w:rsidRPr="00685A27" w:rsidRDefault="00587939" w:rsidP="00AC733E">
            <w:pPr>
              <w:spacing w:after="0" w:line="240" w:lineRule="auto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Client</w:t>
            </w:r>
            <w:r w:rsidRPr="00685A27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685A27" w:rsidRPr="00685A27">
              <w:rPr>
                <w:rFonts w:ascii="Calibri" w:hAnsi="Calibri" w:cs="Arial"/>
                <w:b/>
                <w:bCs/>
                <w:color w:val="000000"/>
              </w:rPr>
              <w:t>Data</w:t>
            </w:r>
          </w:p>
        </w:tc>
      </w:tr>
      <w:tr w:rsidR="00685A27" w:rsidRPr="00AC733E" w:rsidTr="0004031B">
        <w:trPr>
          <w:cantSplit/>
        </w:trPr>
        <w:tc>
          <w:tcPr>
            <w:tcW w:w="3369" w:type="dxa"/>
            <w:shd w:val="clear" w:color="auto" w:fill="DADAE9"/>
          </w:tcPr>
          <w:p w:rsidR="00685A27" w:rsidRPr="00685A27" w:rsidRDefault="00685A27" w:rsidP="00685A27">
            <w:pPr>
              <w:spacing w:after="0" w:line="240" w:lineRule="auto"/>
              <w:rPr>
                <w:rFonts w:ascii="Calibri" w:hAnsi="Calibri" w:cs="Arial"/>
                <w:bCs/>
                <w:color w:val="000000"/>
              </w:rPr>
            </w:pPr>
            <w:r w:rsidRPr="00685A27">
              <w:rPr>
                <w:rFonts w:ascii="Calibri" w:hAnsi="Calibri" w:cs="Arial"/>
                <w:bCs/>
                <w:color w:val="000000"/>
              </w:rPr>
              <w:t>Date of Birth</w:t>
            </w:r>
          </w:p>
        </w:tc>
        <w:tc>
          <w:tcPr>
            <w:tcW w:w="3118" w:type="dxa"/>
          </w:tcPr>
          <w:p w:rsidR="00685A27" w:rsidRPr="00685A27" w:rsidRDefault="008A0FB6" w:rsidP="00AC733E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Client's </w:t>
            </w:r>
            <w:r w:rsidR="00FF529C">
              <w:rPr>
                <w:rFonts w:ascii="Calibri" w:hAnsi="Calibri" w:cs="Calibri"/>
                <w:color w:val="000000"/>
              </w:rPr>
              <w:t>date of birth</w:t>
            </w:r>
          </w:p>
        </w:tc>
        <w:tc>
          <w:tcPr>
            <w:tcW w:w="7938" w:type="dxa"/>
          </w:tcPr>
          <w:p w:rsidR="00685A27" w:rsidRPr="00685A27" w:rsidRDefault="00587939" w:rsidP="00685A27">
            <w:pPr>
              <w:spacing w:after="0" w:line="240" w:lineRule="auto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DD/MM/YYYY</w:t>
            </w:r>
          </w:p>
        </w:tc>
      </w:tr>
      <w:tr w:rsidR="00267B2E" w:rsidRPr="00AC733E" w:rsidTr="0004031B">
        <w:trPr>
          <w:cantSplit/>
        </w:trPr>
        <w:tc>
          <w:tcPr>
            <w:tcW w:w="3369" w:type="dxa"/>
            <w:shd w:val="clear" w:color="auto" w:fill="DADAE9"/>
          </w:tcPr>
          <w:p w:rsidR="00267B2E" w:rsidRPr="00685A27" w:rsidRDefault="00267B2E" w:rsidP="00685A27">
            <w:pPr>
              <w:spacing w:after="0" w:line="240" w:lineRule="auto"/>
              <w:rPr>
                <w:rFonts w:ascii="Calibri" w:hAnsi="Calibri" w:cs="Arial"/>
                <w:bCs/>
                <w:color w:val="000000"/>
              </w:rPr>
            </w:pPr>
            <w:r w:rsidRPr="0035084B">
              <w:rPr>
                <w:rFonts w:asciiTheme="minorHAnsi" w:hAnsiTheme="minorHAnsi" w:cstheme="minorHAnsi"/>
                <w:bCs/>
                <w:color w:val="000000"/>
              </w:rPr>
              <w:t>Age at Test</w:t>
            </w:r>
          </w:p>
        </w:tc>
        <w:tc>
          <w:tcPr>
            <w:tcW w:w="3118" w:type="dxa"/>
          </w:tcPr>
          <w:p w:rsidR="00267B2E" w:rsidRDefault="00267B2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 calculated field that is the age in years that the person was when they had the test. </w:t>
            </w:r>
          </w:p>
        </w:tc>
        <w:tc>
          <w:tcPr>
            <w:tcW w:w="7938" w:type="dxa"/>
          </w:tcPr>
          <w:p w:rsidR="00267B2E" w:rsidRPr="00685A27" w:rsidRDefault="00267B2E" w:rsidP="00685A27">
            <w:pPr>
              <w:spacing w:after="0" w:line="240" w:lineRule="auto"/>
              <w:rPr>
                <w:rFonts w:ascii="Calibri" w:hAnsi="Calibri" w:cs="Arial"/>
              </w:rPr>
            </w:pPr>
            <w:r w:rsidRPr="0035084B">
              <w:rPr>
                <w:rFonts w:asciiTheme="minorHAnsi" w:hAnsiTheme="minorHAnsi" w:cstheme="minorHAnsi"/>
                <w:color w:val="000000"/>
              </w:rPr>
              <w:t>YY</w:t>
            </w:r>
          </w:p>
        </w:tc>
      </w:tr>
      <w:tr w:rsidR="00267B2E" w:rsidRPr="00AC733E" w:rsidTr="0004031B">
        <w:trPr>
          <w:cantSplit/>
        </w:trPr>
        <w:tc>
          <w:tcPr>
            <w:tcW w:w="3369" w:type="dxa"/>
            <w:shd w:val="clear" w:color="auto" w:fill="DADAE9"/>
          </w:tcPr>
          <w:p w:rsidR="00267B2E" w:rsidRDefault="00267B2E" w:rsidP="00267B2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Date of Test</w:t>
            </w:r>
          </w:p>
          <w:p w:rsidR="00267B2E" w:rsidRPr="0037731F" w:rsidRDefault="00267B2E" w:rsidP="00AC733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:rsidR="00267B2E" w:rsidRPr="007C7901" w:rsidRDefault="007C7901" w:rsidP="007C79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Date of test as provided by the pathology laboratory</w:t>
            </w:r>
            <w:r w:rsidR="004C37F2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7938" w:type="dxa"/>
          </w:tcPr>
          <w:p w:rsidR="00267B2E" w:rsidRPr="007C7901" w:rsidRDefault="007C7901" w:rsidP="007C790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DD/MM/YYYY</w:t>
            </w:r>
          </w:p>
        </w:tc>
      </w:tr>
      <w:tr w:rsidR="007C7901" w:rsidRPr="00AC733E" w:rsidTr="0004031B">
        <w:trPr>
          <w:cantSplit/>
        </w:trPr>
        <w:tc>
          <w:tcPr>
            <w:tcW w:w="3369" w:type="dxa"/>
            <w:shd w:val="clear" w:color="auto" w:fill="DADAE9"/>
          </w:tcPr>
          <w:p w:rsidR="007C7901" w:rsidRDefault="007C7901" w:rsidP="00267B2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Type of Test</w:t>
            </w:r>
          </w:p>
        </w:tc>
        <w:tc>
          <w:tcPr>
            <w:tcW w:w="3118" w:type="dxa"/>
          </w:tcPr>
          <w:p w:rsidR="007C7901" w:rsidRDefault="007C7901" w:rsidP="007C790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</w:tcPr>
          <w:tbl>
            <w:tblPr>
              <w:tblW w:w="6740" w:type="dxa"/>
              <w:tblLayout w:type="fixed"/>
              <w:tblLook w:val="04A0"/>
            </w:tblPr>
            <w:tblGrid>
              <w:gridCol w:w="6740"/>
            </w:tblGrid>
            <w:tr w:rsidR="007C7901" w:rsidRPr="007C7901" w:rsidTr="007C7901">
              <w:trPr>
                <w:trHeight w:val="315"/>
              </w:trPr>
              <w:tc>
                <w:tcPr>
                  <w:tcW w:w="6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901" w:rsidRPr="007C7901" w:rsidRDefault="007C7901" w:rsidP="007C7901">
                  <w:pPr>
                    <w:spacing w:after="0" w:line="240" w:lineRule="auto"/>
                    <w:ind w:left="-74"/>
                    <w:rPr>
                      <w:rFonts w:ascii="Calibri" w:eastAsia="Times New Roman" w:hAnsi="Calibri"/>
                      <w:color w:val="000000"/>
                      <w:lang w:eastAsia="en-AU"/>
                    </w:rPr>
                  </w:pPr>
                  <w:r w:rsidRPr="007C7901">
                    <w:rPr>
                      <w:rFonts w:ascii="Calibri" w:eastAsia="Times New Roman" w:hAnsi="Calibri"/>
                      <w:color w:val="000000"/>
                      <w:lang w:eastAsia="en-AU"/>
                    </w:rPr>
                    <w:t>C = Cytology</w:t>
                  </w:r>
                </w:p>
              </w:tc>
            </w:tr>
            <w:tr w:rsidR="007C7901" w:rsidRPr="007C7901" w:rsidTr="007C7901">
              <w:trPr>
                <w:trHeight w:val="300"/>
              </w:trPr>
              <w:tc>
                <w:tcPr>
                  <w:tcW w:w="6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901" w:rsidRPr="007C7901" w:rsidRDefault="007C7901" w:rsidP="007C7901">
                  <w:pPr>
                    <w:spacing w:after="0" w:line="240" w:lineRule="auto"/>
                    <w:ind w:left="-74"/>
                    <w:rPr>
                      <w:rFonts w:ascii="Calibri" w:eastAsia="Times New Roman" w:hAnsi="Calibri"/>
                      <w:color w:val="000000"/>
                      <w:lang w:eastAsia="en-AU"/>
                    </w:rPr>
                  </w:pPr>
                  <w:r w:rsidRPr="007C7901">
                    <w:rPr>
                      <w:rFonts w:ascii="Calibri" w:eastAsia="Times New Roman" w:hAnsi="Calibri"/>
                      <w:color w:val="000000"/>
                      <w:lang w:eastAsia="en-AU"/>
                    </w:rPr>
                    <w:t>D = HPV DNA</w:t>
                  </w:r>
                </w:p>
              </w:tc>
            </w:tr>
            <w:tr w:rsidR="007C7901" w:rsidRPr="007C7901" w:rsidTr="007C7901">
              <w:trPr>
                <w:trHeight w:val="300"/>
              </w:trPr>
              <w:tc>
                <w:tcPr>
                  <w:tcW w:w="6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7901" w:rsidRPr="007C7901" w:rsidRDefault="007C7901" w:rsidP="007C7901">
                  <w:pPr>
                    <w:spacing w:after="0" w:line="240" w:lineRule="auto"/>
                    <w:ind w:left="-74"/>
                    <w:rPr>
                      <w:rFonts w:ascii="Calibri" w:eastAsia="Times New Roman" w:hAnsi="Calibri"/>
                      <w:color w:val="000000"/>
                      <w:lang w:eastAsia="en-AU"/>
                    </w:rPr>
                  </w:pPr>
                  <w:r w:rsidRPr="007C7901">
                    <w:rPr>
                      <w:rFonts w:ascii="Calibri" w:eastAsia="Times New Roman" w:hAnsi="Calibri"/>
                      <w:color w:val="000000"/>
                      <w:lang w:eastAsia="en-AU"/>
                    </w:rPr>
                    <w:t>H = Histology</w:t>
                  </w:r>
                </w:p>
              </w:tc>
            </w:tr>
          </w:tbl>
          <w:p w:rsidR="007C7901" w:rsidRDefault="007C7901" w:rsidP="007C7901">
            <w:pPr>
              <w:rPr>
                <w:rFonts w:ascii="Calibri" w:hAnsi="Calibri"/>
                <w:color w:val="000000"/>
              </w:rPr>
            </w:pPr>
          </w:p>
        </w:tc>
      </w:tr>
      <w:tr w:rsidR="007C7901" w:rsidRPr="00AC733E" w:rsidTr="0004031B">
        <w:trPr>
          <w:cantSplit/>
        </w:trPr>
        <w:tc>
          <w:tcPr>
            <w:tcW w:w="3369" w:type="dxa"/>
            <w:shd w:val="clear" w:color="auto" w:fill="DADAE9"/>
          </w:tcPr>
          <w:p w:rsidR="007C7901" w:rsidRDefault="007C7901" w:rsidP="00267B2E">
            <w:pPr>
              <w:rPr>
                <w:rFonts w:ascii="Calibri" w:hAnsi="Calibri"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Overall</w:t>
            </w:r>
            <w:r w:rsidRPr="0035084B">
              <w:rPr>
                <w:rFonts w:asciiTheme="minorHAnsi" w:hAnsiTheme="minorHAnsi" w:cstheme="minorHAnsi"/>
                <w:bCs/>
                <w:color w:val="000000"/>
              </w:rPr>
              <w:t xml:space="preserve"> Result</w:t>
            </w:r>
          </w:p>
        </w:tc>
        <w:tc>
          <w:tcPr>
            <w:tcW w:w="3118" w:type="dxa"/>
          </w:tcPr>
          <w:p w:rsidR="007C7901" w:rsidRDefault="007C7901" w:rsidP="007C790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35084B">
              <w:rPr>
                <w:rFonts w:asciiTheme="minorHAnsi" w:hAnsiTheme="minorHAnsi" w:cstheme="minorHAnsi"/>
                <w:color w:val="000000"/>
              </w:rPr>
              <w:t>The overall result group for the Cytology result as defined by the NHMRC 2005 guidelines</w:t>
            </w:r>
            <w:r w:rsidR="004C37F2"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7C7901" w:rsidRDefault="007C7901" w:rsidP="007C790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  <w:p w:rsidR="007C7901" w:rsidRDefault="007C7901" w:rsidP="007C7901">
            <w:pPr>
              <w:rPr>
                <w:rFonts w:ascii="Calibri" w:hAnsi="Calibr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 mapping table of the combination of individual cytology results to an overall result group is available on request.</w:t>
            </w:r>
          </w:p>
        </w:tc>
        <w:tc>
          <w:tcPr>
            <w:tcW w:w="7938" w:type="dxa"/>
          </w:tcPr>
          <w:p w:rsidR="007C7901" w:rsidRPr="007C7901" w:rsidRDefault="007C7901" w:rsidP="007C7901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7C7901">
              <w:rPr>
                <w:rFonts w:ascii="Calibri" w:hAnsi="Calibri" w:cs="Calibri"/>
                <w:sz w:val="18"/>
                <w:szCs w:val="20"/>
              </w:rPr>
              <w:t>C1 = Normal</w:t>
            </w:r>
          </w:p>
          <w:p w:rsidR="007C7901" w:rsidRPr="007C7901" w:rsidRDefault="007C7901" w:rsidP="007C7901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7C7901">
              <w:rPr>
                <w:rFonts w:ascii="Calibri" w:hAnsi="Calibri" w:cs="Calibri"/>
                <w:sz w:val="18"/>
                <w:szCs w:val="20"/>
              </w:rPr>
              <w:t>C2 = Possible LGEA/LGEA</w:t>
            </w:r>
          </w:p>
          <w:p w:rsidR="007C7901" w:rsidRPr="007C7901" w:rsidRDefault="007C7901" w:rsidP="007C7901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7C7901">
              <w:rPr>
                <w:rFonts w:ascii="Calibri" w:hAnsi="Calibri" w:cs="Calibri"/>
                <w:sz w:val="18"/>
                <w:szCs w:val="20"/>
              </w:rPr>
              <w:t>C3 = Possible HGEA</w:t>
            </w:r>
          </w:p>
          <w:p w:rsidR="007C7901" w:rsidRPr="007C7901" w:rsidRDefault="007C7901" w:rsidP="007C7901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7C7901">
              <w:rPr>
                <w:rFonts w:ascii="Calibri" w:hAnsi="Calibri" w:cs="Calibri"/>
                <w:sz w:val="18"/>
                <w:szCs w:val="20"/>
              </w:rPr>
              <w:t>C4 = HGEA</w:t>
            </w:r>
          </w:p>
          <w:p w:rsidR="007C7901" w:rsidRPr="007C7901" w:rsidRDefault="007C7901" w:rsidP="007C7901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7C7901">
              <w:rPr>
                <w:rFonts w:ascii="Calibri" w:hAnsi="Calibri" w:cs="Calibri"/>
                <w:sz w:val="18"/>
                <w:szCs w:val="20"/>
              </w:rPr>
              <w:t>C5 = Malignant</w:t>
            </w:r>
          </w:p>
          <w:p w:rsidR="007C7901" w:rsidRPr="007C7901" w:rsidRDefault="007C7901" w:rsidP="007C7901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7C7901">
              <w:rPr>
                <w:rFonts w:ascii="Calibri" w:hAnsi="Calibri" w:cs="Calibri"/>
                <w:sz w:val="18"/>
                <w:szCs w:val="20"/>
              </w:rPr>
              <w:t>CU = Unsatisfactory Pap</w:t>
            </w:r>
          </w:p>
          <w:p w:rsidR="007C7901" w:rsidRPr="007C7901" w:rsidRDefault="007C7901" w:rsidP="007C7901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7C7901">
              <w:rPr>
                <w:rFonts w:ascii="Calibri" w:hAnsi="Calibri" w:cs="Calibri"/>
                <w:sz w:val="18"/>
                <w:szCs w:val="20"/>
              </w:rPr>
              <w:t>D0 = HPV Negative</w:t>
            </w:r>
          </w:p>
          <w:p w:rsidR="007C7901" w:rsidRPr="007C7901" w:rsidRDefault="007C7901" w:rsidP="007C7901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7C7901">
              <w:rPr>
                <w:rFonts w:ascii="Calibri" w:hAnsi="Calibri" w:cs="Calibri"/>
                <w:sz w:val="18"/>
                <w:szCs w:val="20"/>
              </w:rPr>
              <w:t>D1 = HPV Positive</w:t>
            </w:r>
          </w:p>
          <w:p w:rsidR="007C7901" w:rsidRPr="007C7901" w:rsidRDefault="007C7901" w:rsidP="007C7901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7C7901">
              <w:rPr>
                <w:rFonts w:ascii="Calibri" w:hAnsi="Calibri" w:cs="Calibri"/>
                <w:sz w:val="18"/>
                <w:szCs w:val="20"/>
              </w:rPr>
              <w:t>DU = Unsatisfactory HPV</w:t>
            </w:r>
          </w:p>
          <w:p w:rsidR="007C7901" w:rsidRPr="007C7901" w:rsidRDefault="007C7901" w:rsidP="007C7901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7C7901">
              <w:rPr>
                <w:rFonts w:ascii="Calibri" w:hAnsi="Calibri" w:cs="Calibri"/>
                <w:sz w:val="18"/>
                <w:szCs w:val="20"/>
              </w:rPr>
              <w:t xml:space="preserve">H- = </w:t>
            </w:r>
            <w:r w:rsidR="00E43EF9">
              <w:rPr>
                <w:rFonts w:ascii="Calibri" w:hAnsi="Calibri" w:cs="Calibri"/>
                <w:sz w:val="18"/>
                <w:szCs w:val="20"/>
              </w:rPr>
              <w:t>Endocervical Polyp</w:t>
            </w:r>
          </w:p>
          <w:p w:rsidR="007C7901" w:rsidRPr="007C7901" w:rsidRDefault="007C7901" w:rsidP="007C7901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7C7901">
              <w:rPr>
                <w:rFonts w:ascii="Calibri" w:hAnsi="Calibri" w:cs="Calibri"/>
                <w:sz w:val="18"/>
                <w:szCs w:val="20"/>
              </w:rPr>
              <w:t>H0 = Unsatisfactory Biopsy</w:t>
            </w:r>
          </w:p>
          <w:p w:rsidR="007C7901" w:rsidRPr="007C7901" w:rsidRDefault="007C7901" w:rsidP="007C7901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7C7901">
              <w:rPr>
                <w:rFonts w:ascii="Calibri" w:hAnsi="Calibri" w:cs="Calibri"/>
                <w:sz w:val="18"/>
                <w:szCs w:val="20"/>
              </w:rPr>
              <w:t>H1 = Normal</w:t>
            </w:r>
          </w:p>
          <w:p w:rsidR="007C7901" w:rsidRPr="007C7901" w:rsidRDefault="007C7901" w:rsidP="007C7901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7C7901">
              <w:rPr>
                <w:rFonts w:ascii="Calibri" w:hAnsi="Calibri" w:cs="Calibri"/>
                <w:sz w:val="18"/>
                <w:szCs w:val="20"/>
              </w:rPr>
              <w:t>H2 = Reactive Inflammatory</w:t>
            </w:r>
          </w:p>
          <w:p w:rsidR="007C7901" w:rsidRPr="007C7901" w:rsidRDefault="007C7901" w:rsidP="007C7901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7C7901">
              <w:rPr>
                <w:rFonts w:ascii="Calibri" w:hAnsi="Calibri" w:cs="Calibri"/>
                <w:sz w:val="18"/>
                <w:szCs w:val="20"/>
              </w:rPr>
              <w:t>H3 = LGEA CIN1 +/HPV or HPV+/CIN1</w:t>
            </w:r>
          </w:p>
          <w:p w:rsidR="007C7901" w:rsidRPr="007C7901" w:rsidRDefault="007C7901" w:rsidP="007C7901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7C7901">
              <w:rPr>
                <w:rFonts w:ascii="Calibri" w:hAnsi="Calibri" w:cs="Calibri"/>
                <w:sz w:val="18"/>
                <w:szCs w:val="20"/>
              </w:rPr>
              <w:t>H4 = HGEA CIN2/3 +/-HPV AIS, CIN 1-2 Pre malignant endometrial cells</w:t>
            </w:r>
          </w:p>
          <w:p w:rsidR="007C7901" w:rsidRPr="007C7901" w:rsidRDefault="007C7901" w:rsidP="007C7901">
            <w:pPr>
              <w:spacing w:after="0" w:line="240" w:lineRule="auto"/>
              <w:rPr>
                <w:rFonts w:ascii="Calibri" w:hAnsi="Calibri" w:cs="Calibri"/>
                <w:sz w:val="18"/>
                <w:szCs w:val="20"/>
              </w:rPr>
            </w:pPr>
            <w:r w:rsidRPr="007C7901">
              <w:rPr>
                <w:rFonts w:ascii="Calibri" w:hAnsi="Calibri" w:cs="Calibri"/>
                <w:sz w:val="18"/>
                <w:szCs w:val="20"/>
              </w:rPr>
              <w:t>H5 = Invasive Malignancy</w:t>
            </w:r>
          </w:p>
          <w:p w:rsidR="007C7901" w:rsidRPr="007C7901" w:rsidRDefault="00856758" w:rsidP="007C7901">
            <w:pPr>
              <w:spacing w:after="0" w:line="240" w:lineRule="auto"/>
              <w:ind w:left="-74"/>
              <w:rPr>
                <w:rFonts w:ascii="Calibri" w:eastAsia="Times New Roman" w:hAnsi="Calibri"/>
                <w:color w:val="000000"/>
                <w:lang w:eastAsia="en-AU"/>
              </w:rPr>
            </w:pPr>
            <w:r>
              <w:rPr>
                <w:rFonts w:ascii="Calibri" w:hAnsi="Calibri" w:cs="Calibri"/>
                <w:sz w:val="18"/>
                <w:szCs w:val="20"/>
              </w:rPr>
              <w:t xml:space="preserve">  </w:t>
            </w:r>
            <w:r w:rsidR="007C7901" w:rsidRPr="007C7901">
              <w:rPr>
                <w:rFonts w:ascii="Calibri" w:hAnsi="Calibri" w:cs="Calibri"/>
                <w:sz w:val="18"/>
                <w:szCs w:val="20"/>
              </w:rPr>
              <w:t>HP = Possible High Grade</w:t>
            </w:r>
          </w:p>
        </w:tc>
      </w:tr>
      <w:tr w:rsidR="00267B2E" w:rsidRPr="00AC733E" w:rsidTr="0004031B">
        <w:trPr>
          <w:cantSplit/>
        </w:trPr>
        <w:tc>
          <w:tcPr>
            <w:tcW w:w="14425" w:type="dxa"/>
            <w:gridSpan w:val="3"/>
            <w:tcBorders>
              <w:top w:val="single" w:sz="8" w:space="0" w:color="53548A"/>
              <w:left w:val="single" w:sz="8" w:space="0" w:color="53548A"/>
              <w:bottom w:val="single" w:sz="8" w:space="0" w:color="53548A"/>
              <w:right w:val="single" w:sz="8" w:space="0" w:color="53548A"/>
            </w:tcBorders>
            <w:shd w:val="clear" w:color="auto" w:fill="95B3D7" w:themeFill="accent1" w:themeFillTint="99"/>
          </w:tcPr>
          <w:p w:rsidR="00267B2E" w:rsidRPr="0035084B" w:rsidRDefault="00267B2E" w:rsidP="00AC733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5084B">
              <w:rPr>
                <w:rFonts w:asciiTheme="minorHAnsi" w:hAnsiTheme="minorHAnsi" w:cstheme="minorHAnsi"/>
                <w:b/>
                <w:bCs/>
                <w:color w:val="000000"/>
              </w:rPr>
              <w:t>Cervical Test Data</w:t>
            </w:r>
          </w:p>
        </w:tc>
      </w:tr>
      <w:tr w:rsidR="007C7901" w:rsidRPr="00AC733E" w:rsidTr="0004031B">
        <w:trPr>
          <w:cantSplit/>
        </w:trPr>
        <w:tc>
          <w:tcPr>
            <w:tcW w:w="3369" w:type="dxa"/>
            <w:shd w:val="clear" w:color="auto" w:fill="DADAE9"/>
          </w:tcPr>
          <w:p w:rsidR="007C7901" w:rsidRPr="0035084B" w:rsidRDefault="007C7901" w:rsidP="00685A2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35084B">
              <w:rPr>
                <w:rFonts w:asciiTheme="minorHAnsi" w:hAnsiTheme="minorHAnsi" w:cstheme="minorHAnsi"/>
                <w:bCs/>
                <w:color w:val="000000"/>
              </w:rPr>
              <w:lastRenderedPageBreak/>
              <w:t>Cytology Type Code</w:t>
            </w:r>
          </w:p>
        </w:tc>
        <w:tc>
          <w:tcPr>
            <w:tcW w:w="3118" w:type="dxa"/>
          </w:tcPr>
          <w:p w:rsidR="007C7901" w:rsidRPr="0035084B" w:rsidRDefault="007C7901" w:rsidP="00856758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35084B">
              <w:rPr>
                <w:rFonts w:asciiTheme="minorHAnsi" w:hAnsiTheme="minorHAnsi" w:cstheme="minorHAnsi"/>
              </w:rPr>
              <w:t xml:space="preserve">Cytology test results are coded by the laboratory to the Cytology Coding Schedule (NHMRC 2005) and sent to the </w:t>
            </w:r>
            <w:r w:rsidR="00856758">
              <w:rPr>
                <w:rFonts w:asciiTheme="minorHAnsi" w:hAnsiTheme="minorHAnsi" w:cstheme="minorHAnsi"/>
              </w:rPr>
              <w:t>SCR</w:t>
            </w:r>
            <w:r w:rsidRPr="0035084B">
              <w:rPr>
                <w:rFonts w:asciiTheme="minorHAnsi" w:hAnsiTheme="minorHAnsi" w:cstheme="minorHAnsi"/>
              </w:rPr>
              <w:t xml:space="preserve">. All cytology coding held by the </w:t>
            </w:r>
            <w:r w:rsidR="00856758">
              <w:rPr>
                <w:rFonts w:asciiTheme="minorHAnsi" w:hAnsiTheme="minorHAnsi" w:cstheme="minorHAnsi"/>
              </w:rPr>
              <w:t>CSR</w:t>
            </w:r>
            <w:r w:rsidRPr="0035084B">
              <w:rPr>
                <w:rFonts w:asciiTheme="minorHAnsi" w:hAnsiTheme="minorHAnsi" w:cstheme="minorHAnsi"/>
              </w:rPr>
              <w:t>, including results prior to July 2006, have been mapped to the codes introduced in 2006.</w:t>
            </w:r>
          </w:p>
        </w:tc>
        <w:tc>
          <w:tcPr>
            <w:tcW w:w="7938" w:type="dxa"/>
          </w:tcPr>
          <w:p w:rsidR="007C7901" w:rsidRDefault="007C7901" w:rsidP="00D22C2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3539">
              <w:rPr>
                <w:rFonts w:ascii="Calibri" w:hAnsi="Calibri" w:cs="Calibri"/>
                <w:sz w:val="18"/>
                <w:szCs w:val="18"/>
              </w:rPr>
              <w:t>AØ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=</w:t>
            </w:r>
            <w:r w:rsidRPr="00F13539">
              <w:rPr>
                <w:rFonts w:ascii="Calibri" w:hAnsi="Calibri" w:cs="Calibri"/>
                <w:sz w:val="18"/>
                <w:szCs w:val="18"/>
              </w:rPr>
              <w:t xml:space="preserve"> Not stated</w:t>
            </w:r>
          </w:p>
          <w:p w:rsidR="007C7901" w:rsidRDefault="007C7901" w:rsidP="00D22C2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3539">
              <w:rPr>
                <w:rFonts w:ascii="Calibri" w:hAnsi="Calibri" w:cs="Calibri"/>
                <w:sz w:val="18"/>
                <w:szCs w:val="18"/>
              </w:rPr>
              <w:t xml:space="preserve">A1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= </w:t>
            </w:r>
            <w:r w:rsidRPr="00F13539">
              <w:rPr>
                <w:rFonts w:ascii="Calibri" w:hAnsi="Calibri" w:cs="Calibri"/>
                <w:sz w:val="18"/>
                <w:szCs w:val="18"/>
              </w:rPr>
              <w:t>Conventional smear</w:t>
            </w:r>
          </w:p>
          <w:p w:rsidR="007C7901" w:rsidRDefault="007C7901" w:rsidP="00D22C25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F13539">
              <w:rPr>
                <w:rFonts w:ascii="Calibri" w:hAnsi="Calibri" w:cs="Calibri"/>
                <w:sz w:val="18"/>
                <w:szCs w:val="18"/>
              </w:rPr>
              <w:t xml:space="preserve">A2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= </w:t>
            </w:r>
            <w:r w:rsidRPr="00F13539">
              <w:rPr>
                <w:rFonts w:ascii="Calibri" w:hAnsi="Calibri" w:cs="Calibri"/>
                <w:sz w:val="18"/>
                <w:szCs w:val="18"/>
              </w:rPr>
              <w:t>Liquid based specimen</w:t>
            </w:r>
          </w:p>
          <w:p w:rsidR="007C7901" w:rsidRDefault="007C7901" w:rsidP="00D22C2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13539">
              <w:rPr>
                <w:rFonts w:ascii="Calibri" w:hAnsi="Calibri" w:cs="Calibri"/>
                <w:sz w:val="18"/>
                <w:szCs w:val="18"/>
              </w:rPr>
              <w:t xml:space="preserve">A3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= </w:t>
            </w:r>
            <w:r w:rsidRPr="00F13539">
              <w:rPr>
                <w:rFonts w:ascii="Calibri" w:hAnsi="Calibri" w:cs="Calibri"/>
                <w:sz w:val="18"/>
                <w:szCs w:val="18"/>
              </w:rPr>
              <w:t>Conventional and liquid based specimen</w:t>
            </w:r>
          </w:p>
          <w:p w:rsidR="007C7901" w:rsidRPr="0035084B" w:rsidRDefault="007C7901" w:rsidP="00D22C2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C7901" w:rsidRPr="00AC733E" w:rsidTr="0004031B">
        <w:trPr>
          <w:cantSplit/>
        </w:trPr>
        <w:tc>
          <w:tcPr>
            <w:tcW w:w="3369" w:type="dxa"/>
            <w:tcBorders>
              <w:top w:val="single" w:sz="8" w:space="0" w:color="53548A"/>
              <w:left w:val="single" w:sz="8" w:space="0" w:color="53548A"/>
              <w:bottom w:val="single" w:sz="8" w:space="0" w:color="53548A"/>
            </w:tcBorders>
            <w:shd w:val="clear" w:color="auto" w:fill="DADAE9"/>
          </w:tcPr>
          <w:p w:rsidR="007C7901" w:rsidRPr="0035084B" w:rsidRDefault="007C7901" w:rsidP="00685A2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35084B">
              <w:rPr>
                <w:rFonts w:asciiTheme="minorHAnsi" w:hAnsiTheme="minorHAnsi" w:cstheme="minorHAnsi"/>
                <w:bCs/>
                <w:color w:val="000000"/>
              </w:rPr>
              <w:t>Cytology Site Code</w:t>
            </w:r>
          </w:p>
        </w:tc>
        <w:tc>
          <w:tcPr>
            <w:tcW w:w="3118" w:type="dxa"/>
            <w:tcBorders>
              <w:top w:val="single" w:sz="8" w:space="0" w:color="53548A"/>
              <w:bottom w:val="single" w:sz="8" w:space="0" w:color="53548A"/>
            </w:tcBorders>
          </w:tcPr>
          <w:p w:rsidR="007C7901" w:rsidRPr="0035084B" w:rsidRDefault="007C7901" w:rsidP="00AC733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938" w:type="dxa"/>
            <w:tcBorders>
              <w:top w:val="single" w:sz="8" w:space="0" w:color="53548A"/>
              <w:bottom w:val="single" w:sz="8" w:space="0" w:color="53548A"/>
              <w:right w:val="single" w:sz="8" w:space="0" w:color="53548A"/>
            </w:tcBorders>
          </w:tcPr>
          <w:p w:rsidR="007C7901" w:rsidRDefault="007C7901" w:rsidP="00AC733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F13539">
              <w:rPr>
                <w:rFonts w:ascii="Calibri" w:hAnsi="Calibri" w:cs="Calibri"/>
                <w:sz w:val="18"/>
                <w:szCs w:val="18"/>
                <w:lang w:eastAsia="en-AU"/>
              </w:rPr>
              <w:t>BØ</w:t>
            </w:r>
            <w:r w:rsidR="00901420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 =</w:t>
            </w:r>
            <w:r w:rsidRPr="00F13539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 Not stated</w:t>
            </w:r>
          </w:p>
          <w:p w:rsidR="007C7901" w:rsidRDefault="007C7901" w:rsidP="00AC733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F13539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B1 </w:t>
            </w:r>
            <w:r w:rsidR="00901420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= </w:t>
            </w:r>
            <w:r w:rsidRPr="00F13539">
              <w:rPr>
                <w:rFonts w:ascii="Calibri" w:hAnsi="Calibri" w:cs="Calibri"/>
                <w:sz w:val="18"/>
                <w:szCs w:val="18"/>
                <w:lang w:eastAsia="en-AU"/>
              </w:rPr>
              <w:t>Cervical</w:t>
            </w:r>
          </w:p>
          <w:p w:rsidR="007C7901" w:rsidRDefault="007C7901" w:rsidP="00AC733E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F13539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B2 </w:t>
            </w:r>
            <w:r w:rsidR="00901420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= </w:t>
            </w:r>
            <w:r w:rsidRPr="00F13539">
              <w:rPr>
                <w:rFonts w:ascii="Calibri" w:hAnsi="Calibri" w:cs="Calibri"/>
                <w:sz w:val="18"/>
                <w:szCs w:val="18"/>
                <w:lang w:eastAsia="en-AU"/>
              </w:rPr>
              <w:t>Vaginal</w:t>
            </w:r>
          </w:p>
          <w:p w:rsidR="007C7901" w:rsidRDefault="007C7901" w:rsidP="00AC733E">
            <w:pPr>
              <w:spacing w:after="0" w:line="240" w:lineRule="auto"/>
              <w:rPr>
                <w:rFonts w:ascii="Calibri" w:hAnsi="Calibri" w:cs="Calibri"/>
              </w:rPr>
            </w:pPr>
            <w:r w:rsidRPr="00F13539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B3 </w:t>
            </w:r>
            <w:r w:rsidR="00901420">
              <w:rPr>
                <w:rFonts w:ascii="Calibri" w:hAnsi="Calibri" w:cs="Calibri"/>
                <w:sz w:val="18"/>
                <w:szCs w:val="18"/>
                <w:lang w:eastAsia="en-AU"/>
              </w:rPr>
              <w:t xml:space="preserve">= </w:t>
            </w:r>
            <w:r w:rsidRPr="00F13539">
              <w:rPr>
                <w:rFonts w:ascii="Calibri" w:hAnsi="Calibri" w:cs="Calibri"/>
                <w:sz w:val="18"/>
                <w:szCs w:val="18"/>
                <w:lang w:eastAsia="en-AU"/>
              </w:rPr>
              <w:t>Other gynaecological site</w:t>
            </w:r>
          </w:p>
          <w:p w:rsidR="007C7901" w:rsidRPr="0035084B" w:rsidRDefault="007C7901" w:rsidP="00AC733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C7901" w:rsidRPr="00AC733E" w:rsidTr="0004031B">
        <w:trPr>
          <w:cantSplit/>
        </w:trPr>
        <w:tc>
          <w:tcPr>
            <w:tcW w:w="3369" w:type="dxa"/>
            <w:shd w:val="clear" w:color="auto" w:fill="DADAE9"/>
          </w:tcPr>
          <w:p w:rsidR="007C7901" w:rsidRPr="0035084B" w:rsidRDefault="007C7901" w:rsidP="00685A2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35084B">
              <w:rPr>
                <w:rFonts w:asciiTheme="minorHAnsi" w:hAnsiTheme="minorHAnsi" w:cstheme="minorHAnsi"/>
                <w:bCs/>
                <w:color w:val="000000"/>
              </w:rPr>
              <w:t>Cytology Squamous Cell Code</w:t>
            </w:r>
          </w:p>
        </w:tc>
        <w:tc>
          <w:tcPr>
            <w:tcW w:w="3118" w:type="dxa"/>
          </w:tcPr>
          <w:p w:rsidR="007C7901" w:rsidRPr="0035084B" w:rsidRDefault="007C7901" w:rsidP="00AC733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938" w:type="dxa"/>
          </w:tcPr>
          <w:p w:rsidR="00261FBF" w:rsidRPr="00261FBF" w:rsidRDefault="00261FBF" w:rsidP="00261FBF">
            <w:pPr>
              <w:spacing w:after="0" w:line="240" w:lineRule="auto"/>
              <w:ind w:left="426" w:hanging="426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261FBF">
              <w:rPr>
                <w:rFonts w:ascii="Calibri" w:hAnsi="Calibri" w:cs="Calibri"/>
                <w:sz w:val="18"/>
                <w:szCs w:val="18"/>
                <w:lang w:eastAsia="en-AU"/>
              </w:rPr>
              <w:t>SU = Unsatisfactory for evaluation</w:t>
            </w:r>
          </w:p>
          <w:p w:rsidR="00261FBF" w:rsidRPr="00261FBF" w:rsidRDefault="00261FBF" w:rsidP="00261FBF">
            <w:pPr>
              <w:spacing w:after="0" w:line="240" w:lineRule="auto"/>
              <w:ind w:left="426" w:hanging="426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261FBF">
              <w:rPr>
                <w:rFonts w:ascii="Calibri" w:hAnsi="Calibri" w:cs="Calibri"/>
                <w:sz w:val="18"/>
                <w:szCs w:val="18"/>
                <w:lang w:eastAsia="en-AU"/>
              </w:rPr>
              <w:t>S1 = Cell numbers and preservation satisfactory.  No abnormality or only reactive changes</w:t>
            </w:r>
          </w:p>
          <w:p w:rsidR="00261FBF" w:rsidRPr="00261FBF" w:rsidRDefault="00261FBF" w:rsidP="00261FBF">
            <w:pPr>
              <w:spacing w:after="0" w:line="240" w:lineRule="auto"/>
              <w:ind w:left="426" w:hanging="426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261FBF">
              <w:rPr>
                <w:rFonts w:ascii="Calibri" w:hAnsi="Calibri" w:cs="Calibri"/>
                <w:sz w:val="18"/>
                <w:szCs w:val="18"/>
                <w:lang w:eastAsia="en-AU"/>
              </w:rPr>
              <w:t>S2 = Possible low-grade squamous intraepithelial lesion (LSIL)</w:t>
            </w:r>
          </w:p>
          <w:p w:rsidR="00261FBF" w:rsidRPr="00261FBF" w:rsidRDefault="00261FBF" w:rsidP="00261FBF">
            <w:pPr>
              <w:spacing w:after="0" w:line="240" w:lineRule="auto"/>
              <w:ind w:left="426" w:hanging="426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261FBF">
              <w:rPr>
                <w:rFonts w:ascii="Calibri" w:hAnsi="Calibri" w:cs="Calibri"/>
                <w:sz w:val="18"/>
                <w:szCs w:val="18"/>
                <w:lang w:eastAsia="en-AU"/>
              </w:rPr>
              <w:t>S3 = Low-grade LSIL (HPV and/ or CIN I)</w:t>
            </w:r>
          </w:p>
          <w:p w:rsidR="00261FBF" w:rsidRPr="00261FBF" w:rsidRDefault="00261FBF" w:rsidP="00261FBF">
            <w:pPr>
              <w:spacing w:after="0" w:line="240" w:lineRule="auto"/>
              <w:ind w:left="426" w:hanging="426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261FBF">
              <w:rPr>
                <w:rFonts w:ascii="Calibri" w:hAnsi="Calibri" w:cs="Calibri"/>
                <w:sz w:val="18"/>
                <w:szCs w:val="18"/>
                <w:lang w:eastAsia="en-AU"/>
              </w:rPr>
              <w:t>S4 = Possible high-grade squamous intraepithelial lesion (HSIL)</w:t>
            </w:r>
          </w:p>
          <w:p w:rsidR="00261FBF" w:rsidRPr="00261FBF" w:rsidRDefault="00261FBF" w:rsidP="00261FBF">
            <w:pPr>
              <w:spacing w:after="0" w:line="240" w:lineRule="auto"/>
              <w:ind w:left="426" w:hanging="426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261FBF">
              <w:rPr>
                <w:rFonts w:ascii="Calibri" w:hAnsi="Calibri" w:cs="Calibri"/>
                <w:sz w:val="18"/>
                <w:szCs w:val="18"/>
                <w:lang w:eastAsia="en-AU"/>
              </w:rPr>
              <w:t>S5 = High-grade squamous intraepithelial lesion (HSIL) (CIN II/ CIN III)</w:t>
            </w:r>
          </w:p>
          <w:p w:rsidR="00261FBF" w:rsidRPr="00261FBF" w:rsidRDefault="00261FBF" w:rsidP="00261FBF">
            <w:pPr>
              <w:spacing w:after="0" w:line="240" w:lineRule="auto"/>
              <w:ind w:left="426" w:hanging="426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261FBF">
              <w:rPr>
                <w:rFonts w:ascii="Calibri" w:hAnsi="Calibri" w:cs="Calibri"/>
                <w:sz w:val="18"/>
                <w:szCs w:val="18"/>
                <w:lang w:eastAsia="en-AU"/>
              </w:rPr>
              <w:t>S6 = High-grade squamous intraepithelial lesion (HSIL) with possible microinvasion/ invasion</w:t>
            </w:r>
          </w:p>
          <w:p w:rsidR="007C7901" w:rsidRDefault="00261FBF" w:rsidP="00261FBF">
            <w:pPr>
              <w:spacing w:after="0" w:line="240" w:lineRule="auto"/>
              <w:ind w:left="426" w:hanging="426"/>
              <w:rPr>
                <w:rFonts w:ascii="Calibri" w:hAnsi="Calibri" w:cs="Calibri"/>
                <w:sz w:val="18"/>
                <w:szCs w:val="18"/>
                <w:lang w:eastAsia="en-AU"/>
              </w:rPr>
            </w:pPr>
            <w:r w:rsidRPr="00261FBF">
              <w:rPr>
                <w:rFonts w:ascii="Calibri" w:hAnsi="Calibri" w:cs="Calibri"/>
                <w:sz w:val="18"/>
                <w:szCs w:val="18"/>
                <w:lang w:eastAsia="en-AU"/>
              </w:rPr>
              <w:t>S7 = Squamous carcinoma</w:t>
            </w:r>
          </w:p>
          <w:p w:rsidR="00261FBF" w:rsidRPr="008A0FB6" w:rsidRDefault="00261FBF" w:rsidP="00261FBF">
            <w:pPr>
              <w:spacing w:after="0" w:line="240" w:lineRule="auto"/>
              <w:ind w:left="426" w:hanging="42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C7901" w:rsidRPr="00AC733E" w:rsidTr="0004031B">
        <w:trPr>
          <w:cantSplit/>
        </w:trPr>
        <w:tc>
          <w:tcPr>
            <w:tcW w:w="3369" w:type="dxa"/>
            <w:shd w:val="clear" w:color="auto" w:fill="DADAE9"/>
          </w:tcPr>
          <w:p w:rsidR="007C7901" w:rsidRPr="0035084B" w:rsidRDefault="007C7901" w:rsidP="00685A2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35084B">
              <w:rPr>
                <w:rFonts w:asciiTheme="minorHAnsi" w:hAnsiTheme="minorHAnsi" w:cstheme="minorHAnsi"/>
                <w:bCs/>
                <w:color w:val="000000"/>
              </w:rPr>
              <w:t>Cytology Endocervical Code</w:t>
            </w:r>
          </w:p>
        </w:tc>
        <w:tc>
          <w:tcPr>
            <w:tcW w:w="3118" w:type="dxa"/>
          </w:tcPr>
          <w:p w:rsidR="007C7901" w:rsidRPr="0035084B" w:rsidRDefault="007C7901" w:rsidP="00AC733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938" w:type="dxa"/>
          </w:tcPr>
          <w:p w:rsidR="00261FBF" w:rsidRPr="00261FBF" w:rsidRDefault="00261FBF" w:rsidP="00261FBF">
            <w:pPr>
              <w:spacing w:after="0" w:line="240" w:lineRule="auto"/>
              <w:ind w:left="426" w:hanging="426"/>
              <w:rPr>
                <w:rFonts w:ascii="Calibri" w:hAnsi="Calibri" w:cs="Calibri"/>
                <w:sz w:val="18"/>
                <w:szCs w:val="18"/>
              </w:rPr>
            </w:pPr>
            <w:r w:rsidRPr="00261FBF">
              <w:rPr>
                <w:rFonts w:ascii="Calibri" w:hAnsi="Calibri" w:cs="Calibri"/>
                <w:sz w:val="18"/>
                <w:szCs w:val="18"/>
              </w:rPr>
              <w:t>EU = Due to the unsatisfactory nature of the smear, no assessment has been made</w:t>
            </w:r>
          </w:p>
          <w:p w:rsidR="00261FBF" w:rsidRPr="00261FBF" w:rsidRDefault="00261FBF" w:rsidP="00261FBF">
            <w:pPr>
              <w:spacing w:after="0" w:line="240" w:lineRule="auto"/>
              <w:ind w:left="426" w:hanging="426"/>
              <w:rPr>
                <w:rFonts w:ascii="Calibri" w:hAnsi="Calibri" w:cs="Calibri"/>
                <w:sz w:val="18"/>
                <w:szCs w:val="18"/>
              </w:rPr>
            </w:pPr>
            <w:r w:rsidRPr="00261FBF">
              <w:rPr>
                <w:rFonts w:ascii="Calibri" w:hAnsi="Calibri" w:cs="Calibri"/>
                <w:sz w:val="18"/>
                <w:szCs w:val="18"/>
              </w:rPr>
              <w:t>E- = Not applicable: vault smear/ previous hysterectomy</w:t>
            </w:r>
          </w:p>
          <w:p w:rsidR="00261FBF" w:rsidRPr="00261FBF" w:rsidRDefault="00261FBF" w:rsidP="00261FBF">
            <w:pPr>
              <w:spacing w:after="0" w:line="240" w:lineRule="auto"/>
              <w:ind w:left="426" w:hanging="426"/>
              <w:rPr>
                <w:rFonts w:ascii="Calibri" w:hAnsi="Calibri" w:cs="Calibri"/>
                <w:sz w:val="18"/>
                <w:szCs w:val="18"/>
              </w:rPr>
            </w:pPr>
            <w:r w:rsidRPr="00261FBF">
              <w:rPr>
                <w:rFonts w:ascii="Calibri" w:hAnsi="Calibri" w:cs="Calibri"/>
                <w:sz w:val="18"/>
                <w:szCs w:val="18"/>
              </w:rPr>
              <w:t>E0 = No endocervical component</w:t>
            </w:r>
          </w:p>
          <w:p w:rsidR="00261FBF" w:rsidRPr="00261FBF" w:rsidRDefault="00261FBF" w:rsidP="00261FBF">
            <w:pPr>
              <w:spacing w:after="0" w:line="240" w:lineRule="auto"/>
              <w:ind w:left="426" w:hanging="426"/>
              <w:rPr>
                <w:rFonts w:ascii="Calibri" w:hAnsi="Calibri" w:cs="Calibri"/>
                <w:sz w:val="18"/>
                <w:szCs w:val="18"/>
              </w:rPr>
            </w:pPr>
            <w:r w:rsidRPr="00261FBF">
              <w:rPr>
                <w:rFonts w:ascii="Calibri" w:hAnsi="Calibri" w:cs="Calibri"/>
                <w:sz w:val="18"/>
                <w:szCs w:val="18"/>
              </w:rPr>
              <w:t>E1 = Endocervical component present. No abnormality or only reactive changes</w:t>
            </w:r>
          </w:p>
          <w:p w:rsidR="00261FBF" w:rsidRPr="00261FBF" w:rsidRDefault="00261FBF" w:rsidP="00261FBF">
            <w:pPr>
              <w:spacing w:after="0" w:line="240" w:lineRule="auto"/>
              <w:ind w:left="426" w:hanging="426"/>
              <w:rPr>
                <w:rFonts w:ascii="Calibri" w:hAnsi="Calibri" w:cs="Calibri"/>
                <w:sz w:val="18"/>
                <w:szCs w:val="18"/>
              </w:rPr>
            </w:pPr>
            <w:r w:rsidRPr="00261FBF">
              <w:rPr>
                <w:rFonts w:ascii="Calibri" w:hAnsi="Calibri" w:cs="Calibri"/>
                <w:sz w:val="18"/>
                <w:szCs w:val="18"/>
              </w:rPr>
              <w:t>E2 = Atypical endocervical cells of uncertain significance</w:t>
            </w:r>
          </w:p>
          <w:p w:rsidR="00261FBF" w:rsidRPr="00261FBF" w:rsidRDefault="00261FBF" w:rsidP="00261FBF">
            <w:pPr>
              <w:spacing w:after="0" w:line="240" w:lineRule="auto"/>
              <w:ind w:left="426" w:hanging="426"/>
              <w:rPr>
                <w:rFonts w:ascii="Calibri" w:hAnsi="Calibri" w:cs="Calibri"/>
                <w:sz w:val="18"/>
                <w:szCs w:val="18"/>
              </w:rPr>
            </w:pPr>
            <w:r w:rsidRPr="00261FBF">
              <w:rPr>
                <w:rFonts w:ascii="Calibri" w:hAnsi="Calibri" w:cs="Calibri"/>
                <w:sz w:val="18"/>
                <w:szCs w:val="18"/>
              </w:rPr>
              <w:t>E3 = Possible high-grade endocervical glandular lesion</w:t>
            </w:r>
          </w:p>
          <w:p w:rsidR="00261FBF" w:rsidRPr="00261FBF" w:rsidRDefault="00261FBF" w:rsidP="00261FBF">
            <w:pPr>
              <w:spacing w:after="0" w:line="240" w:lineRule="auto"/>
              <w:ind w:left="426" w:hanging="426"/>
              <w:rPr>
                <w:rFonts w:ascii="Calibri" w:hAnsi="Calibri" w:cs="Calibri"/>
                <w:sz w:val="18"/>
                <w:szCs w:val="18"/>
              </w:rPr>
            </w:pPr>
            <w:r w:rsidRPr="00261FBF">
              <w:rPr>
                <w:rFonts w:ascii="Calibri" w:hAnsi="Calibri" w:cs="Calibri"/>
                <w:sz w:val="18"/>
                <w:szCs w:val="18"/>
              </w:rPr>
              <w:t>E4 = Adenocarcinoma-in-situ</w:t>
            </w:r>
          </w:p>
          <w:p w:rsidR="00261FBF" w:rsidRPr="00261FBF" w:rsidRDefault="00261FBF" w:rsidP="00261FBF">
            <w:pPr>
              <w:spacing w:after="0" w:line="240" w:lineRule="auto"/>
              <w:ind w:left="426" w:hanging="426"/>
              <w:rPr>
                <w:rFonts w:ascii="Calibri" w:hAnsi="Calibri" w:cs="Calibri"/>
                <w:sz w:val="18"/>
                <w:szCs w:val="18"/>
              </w:rPr>
            </w:pPr>
            <w:r w:rsidRPr="00261FBF">
              <w:rPr>
                <w:rFonts w:ascii="Calibri" w:hAnsi="Calibri" w:cs="Calibri"/>
                <w:sz w:val="18"/>
                <w:szCs w:val="18"/>
              </w:rPr>
              <w:t>E5 = Adenocarcinoma-in-situ with possible microinvasion/ invasion</w:t>
            </w:r>
          </w:p>
          <w:p w:rsidR="007C7901" w:rsidRDefault="00261FBF" w:rsidP="00261FBF">
            <w:pPr>
              <w:spacing w:after="0" w:line="240" w:lineRule="auto"/>
              <w:ind w:left="426" w:hanging="426"/>
              <w:rPr>
                <w:rFonts w:ascii="Calibri" w:hAnsi="Calibri" w:cs="Calibri"/>
                <w:sz w:val="18"/>
                <w:szCs w:val="18"/>
              </w:rPr>
            </w:pPr>
            <w:r w:rsidRPr="00261FBF">
              <w:rPr>
                <w:rFonts w:ascii="Calibri" w:hAnsi="Calibri" w:cs="Calibri"/>
                <w:sz w:val="18"/>
                <w:szCs w:val="18"/>
              </w:rPr>
              <w:t>E6 = Adenocarcinoma</w:t>
            </w:r>
          </w:p>
          <w:p w:rsidR="00261FBF" w:rsidRPr="008A0FB6" w:rsidRDefault="00261FBF" w:rsidP="00261FBF">
            <w:pPr>
              <w:spacing w:after="0" w:line="240" w:lineRule="auto"/>
              <w:ind w:left="426" w:hanging="426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7C7901" w:rsidRPr="00AC733E" w:rsidTr="0004031B">
        <w:trPr>
          <w:cantSplit/>
        </w:trPr>
        <w:tc>
          <w:tcPr>
            <w:tcW w:w="3369" w:type="dxa"/>
            <w:tcBorders>
              <w:top w:val="single" w:sz="8" w:space="0" w:color="53548A"/>
              <w:left w:val="single" w:sz="8" w:space="0" w:color="53548A"/>
              <w:bottom w:val="single" w:sz="8" w:space="0" w:color="53548A"/>
            </w:tcBorders>
            <w:shd w:val="clear" w:color="auto" w:fill="DADAE9"/>
          </w:tcPr>
          <w:p w:rsidR="007C7901" w:rsidRPr="0035084B" w:rsidRDefault="007C7901" w:rsidP="00EE3463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35084B">
              <w:rPr>
                <w:rFonts w:asciiTheme="minorHAnsi" w:hAnsiTheme="minorHAnsi" w:cstheme="minorHAnsi"/>
                <w:bCs/>
                <w:color w:val="000000"/>
              </w:rPr>
              <w:lastRenderedPageBreak/>
              <w:t>Cytology Other Code</w:t>
            </w:r>
          </w:p>
        </w:tc>
        <w:tc>
          <w:tcPr>
            <w:tcW w:w="3118" w:type="dxa"/>
            <w:tcBorders>
              <w:top w:val="single" w:sz="8" w:space="0" w:color="53548A"/>
              <w:bottom w:val="single" w:sz="8" w:space="0" w:color="53548A"/>
            </w:tcBorders>
          </w:tcPr>
          <w:p w:rsidR="007C7901" w:rsidRPr="0035084B" w:rsidRDefault="007C7901" w:rsidP="00AC733E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938" w:type="dxa"/>
            <w:tcBorders>
              <w:top w:val="single" w:sz="8" w:space="0" w:color="53548A"/>
              <w:bottom w:val="single" w:sz="8" w:space="0" w:color="53548A"/>
              <w:right w:val="single" w:sz="8" w:space="0" w:color="53548A"/>
            </w:tcBorders>
          </w:tcPr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OU = Due to the unsatisfactory nature of the smear, no assessment has been made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O1 = No other abnormal cells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O2 = Atypical endometrial cells of uncertain significance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O3 = Atypical glandular cells of uncertain significance - site unknown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O4 = Possible endometrial adenocarcinoma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O5 = Possible high-grade lesion – non-cervical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O6 = Malignant cells - uterine body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O7 = Malignant cells - vagina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O8 = Malignant cells – ovary</w:t>
            </w:r>
          </w:p>
          <w:p w:rsidR="00EE3463" w:rsidRPr="00901420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O9 = Malignant cells – other</w:t>
            </w:r>
          </w:p>
        </w:tc>
      </w:tr>
      <w:tr w:rsidR="007C7901" w:rsidRPr="00AC733E" w:rsidTr="0004031B">
        <w:trPr>
          <w:cantSplit/>
        </w:trPr>
        <w:tc>
          <w:tcPr>
            <w:tcW w:w="3369" w:type="dxa"/>
            <w:tcBorders>
              <w:top w:val="single" w:sz="8" w:space="0" w:color="53548A"/>
              <w:left w:val="single" w:sz="8" w:space="0" w:color="53548A"/>
              <w:bottom w:val="single" w:sz="8" w:space="0" w:color="53548A"/>
            </w:tcBorders>
            <w:shd w:val="clear" w:color="auto" w:fill="DADAE9"/>
          </w:tcPr>
          <w:p w:rsidR="007C7901" w:rsidRPr="0035084B" w:rsidRDefault="007C7901" w:rsidP="00E2567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5084B">
              <w:rPr>
                <w:rFonts w:asciiTheme="minorHAnsi" w:hAnsiTheme="minorHAnsi" w:cstheme="minorHAnsi"/>
                <w:bCs/>
                <w:color w:val="000000"/>
              </w:rPr>
              <w:t>Cytology Recommendation Code</w:t>
            </w:r>
          </w:p>
        </w:tc>
        <w:tc>
          <w:tcPr>
            <w:tcW w:w="3118" w:type="dxa"/>
            <w:tcBorders>
              <w:top w:val="single" w:sz="8" w:space="0" w:color="53548A"/>
              <w:bottom w:val="single" w:sz="8" w:space="0" w:color="53548A"/>
            </w:tcBorders>
          </w:tcPr>
          <w:p w:rsidR="007C7901" w:rsidRPr="0035084B" w:rsidRDefault="007C7901" w:rsidP="00E75B4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938" w:type="dxa"/>
            <w:tcBorders>
              <w:top w:val="single" w:sz="8" w:space="0" w:color="53548A"/>
              <w:bottom w:val="single" w:sz="8" w:space="0" w:color="53548A"/>
              <w:right w:val="single" w:sz="8" w:space="0" w:color="53548A"/>
            </w:tcBorders>
          </w:tcPr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R0 = No recommendation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R1 = Repeat smear 3 years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R2 = Repeat smear 2 years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R3 = Repeat smear 12 months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R4 = Repeat smear 6 months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R5 = Repeat smear 6 – 12 weeks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R6 = Colposcopy/ biopsy recommended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R7 = Already under gynaecological management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R8 = Referral to specialist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R9 = Other management recommended</w:t>
            </w:r>
          </w:p>
          <w:p w:rsidR="007C7901" w:rsidRDefault="00EE3463" w:rsidP="00EE3463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EE3463">
              <w:rPr>
                <w:rFonts w:ascii="Calibri" w:hAnsi="Calibri" w:cs="Calibri"/>
                <w:sz w:val="18"/>
                <w:szCs w:val="18"/>
              </w:rPr>
              <w:t>RS = Symptomatic - clinical management required</w:t>
            </w:r>
          </w:p>
          <w:p w:rsidR="00EE3463" w:rsidRPr="0035084B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E3463" w:rsidRPr="00AC733E" w:rsidTr="0004031B">
        <w:trPr>
          <w:cantSplit/>
        </w:trPr>
        <w:tc>
          <w:tcPr>
            <w:tcW w:w="14425" w:type="dxa"/>
            <w:gridSpan w:val="3"/>
            <w:tcBorders>
              <w:top w:val="single" w:sz="8" w:space="0" w:color="53548A"/>
              <w:left w:val="single" w:sz="8" w:space="0" w:color="53548A"/>
              <w:bottom w:val="single" w:sz="8" w:space="0" w:color="53548A"/>
              <w:right w:val="single" w:sz="8" w:space="0" w:color="53548A"/>
            </w:tcBorders>
            <w:shd w:val="clear" w:color="auto" w:fill="95B3D7" w:themeFill="accent1" w:themeFillTint="99"/>
          </w:tcPr>
          <w:p w:rsidR="00EE3463" w:rsidRPr="0035084B" w:rsidRDefault="00EE3463" w:rsidP="00EE3463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Histology</w:t>
            </w:r>
            <w:r w:rsidRPr="0035084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Test Data</w:t>
            </w:r>
          </w:p>
        </w:tc>
      </w:tr>
      <w:tr w:rsidR="00EE3463" w:rsidRPr="00AC733E" w:rsidTr="0004031B">
        <w:trPr>
          <w:cantSplit/>
        </w:trPr>
        <w:tc>
          <w:tcPr>
            <w:tcW w:w="3369" w:type="dxa"/>
            <w:tcBorders>
              <w:top w:val="single" w:sz="8" w:space="0" w:color="53548A"/>
              <w:left w:val="single" w:sz="8" w:space="0" w:color="53548A"/>
              <w:bottom w:val="single" w:sz="8" w:space="0" w:color="53548A"/>
            </w:tcBorders>
            <w:shd w:val="clear" w:color="auto" w:fill="DADAE9"/>
          </w:tcPr>
          <w:p w:rsidR="00EE3463" w:rsidRDefault="00EE3463" w:rsidP="00EE34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Histology Specimen Code</w:t>
            </w:r>
          </w:p>
          <w:p w:rsidR="00EE3463" w:rsidRPr="0035084B" w:rsidRDefault="00EE3463" w:rsidP="00FF529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53548A"/>
              <w:bottom w:val="single" w:sz="8" w:space="0" w:color="53548A"/>
            </w:tcBorders>
          </w:tcPr>
          <w:p w:rsidR="00EE3463" w:rsidRPr="0035084B" w:rsidRDefault="00EE3463" w:rsidP="005B03E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938" w:type="dxa"/>
            <w:tcBorders>
              <w:top w:val="single" w:sz="8" w:space="0" w:color="53548A"/>
              <w:bottom w:val="single" w:sz="8" w:space="0" w:color="53548A"/>
              <w:right w:val="single" w:sz="8" w:space="0" w:color="53548A"/>
            </w:tcBorders>
          </w:tcPr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0 = Not disclosed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1 = Colposcopy only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2 = Punch biopsy of the cervix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3 = Endocervical Curettage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4 = Large Loop excision of TZ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5 = Cone biopsy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6 = Endometrial curettage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7 = Total hysterectomy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8 = Vaginal biopsy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9 = Other pelvic tissue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10 = Metastatic sites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11 = Manchester repair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12 = Endocervical polyp</w:t>
            </w:r>
          </w:p>
          <w:p w:rsid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13 = Sub-total hysterectomy</w:t>
            </w:r>
          </w:p>
          <w:p w:rsidR="00EE3463" w:rsidRPr="00E97FDF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EE3463" w:rsidRPr="00AC733E" w:rsidTr="0004031B">
        <w:trPr>
          <w:cantSplit/>
        </w:trPr>
        <w:tc>
          <w:tcPr>
            <w:tcW w:w="3369" w:type="dxa"/>
            <w:tcBorders>
              <w:top w:val="single" w:sz="8" w:space="0" w:color="53548A"/>
              <w:left w:val="single" w:sz="8" w:space="0" w:color="53548A"/>
              <w:bottom w:val="single" w:sz="8" w:space="0" w:color="53548A"/>
            </w:tcBorders>
            <w:shd w:val="clear" w:color="auto" w:fill="DADAE9"/>
          </w:tcPr>
          <w:p w:rsidR="00EE3463" w:rsidRDefault="00EE3463" w:rsidP="00EE34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Histology Squamous Code</w:t>
            </w:r>
          </w:p>
          <w:p w:rsidR="00EE3463" w:rsidRPr="0035084B" w:rsidRDefault="00EE3463" w:rsidP="00FF529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53548A"/>
              <w:bottom w:val="single" w:sz="8" w:space="0" w:color="53548A"/>
            </w:tcBorders>
          </w:tcPr>
          <w:p w:rsidR="00EE3463" w:rsidRPr="0035084B" w:rsidRDefault="00EE3463" w:rsidP="005B03E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938" w:type="dxa"/>
            <w:tcBorders>
              <w:top w:val="single" w:sz="8" w:space="0" w:color="53548A"/>
              <w:bottom w:val="single" w:sz="8" w:space="0" w:color="53548A"/>
              <w:right w:val="single" w:sz="8" w:space="0" w:color="53548A"/>
            </w:tcBorders>
          </w:tcPr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0 = Not applicable (or information not available)</w:t>
            </w:r>
          </w:p>
          <w:p w:rsidR="00EE3463" w:rsidRPr="00EE3463" w:rsidRDefault="00EE3463" w:rsidP="00901420">
            <w:pPr>
              <w:spacing w:after="0" w:line="240" w:lineRule="auto"/>
              <w:ind w:left="317" w:hanging="317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1 = Native squamous epithelial;</w:t>
            </w:r>
            <w:r w:rsidR="00856758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EE3463">
              <w:rPr>
                <w:rFonts w:asciiTheme="minorHAnsi" w:hAnsiTheme="minorHAnsi" w:cstheme="minorHAnsi"/>
                <w:sz w:val="18"/>
              </w:rPr>
              <w:t>squamous metaplasia;immature squamous metaplasia with or without inflammatory or reactive changes;</w:t>
            </w:r>
            <w:r w:rsidR="00856758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EE3463">
              <w:rPr>
                <w:rFonts w:asciiTheme="minorHAnsi" w:hAnsiTheme="minorHAnsi" w:cstheme="minorHAnsi"/>
                <w:sz w:val="18"/>
              </w:rPr>
              <w:t>atrophy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2 = Atypia Atypical immature squamous metaplasia;</w:t>
            </w:r>
            <w:r w:rsidR="00856758"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EE3463">
              <w:rPr>
                <w:rFonts w:asciiTheme="minorHAnsi" w:hAnsiTheme="minorHAnsi" w:cstheme="minorHAnsi"/>
                <w:sz w:val="18"/>
              </w:rPr>
              <w:t>hyperkeratosis/parakeratosis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3 = HPV Effect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4 = Mild dysplasia (CIN1)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5 = Moderate dysplasia (CIN2)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6 = Severe dysplasia / CIS (CIN3)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7 = Microinvasive squamous cell carcinoma</w:t>
            </w:r>
          </w:p>
          <w:p w:rsid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8 = Invasive squamous cell carcinoma</w:t>
            </w:r>
          </w:p>
          <w:p w:rsidR="00EE3463" w:rsidRPr="00E97FDF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EE3463" w:rsidRPr="00AC733E" w:rsidTr="0004031B">
        <w:trPr>
          <w:cantSplit/>
        </w:trPr>
        <w:tc>
          <w:tcPr>
            <w:tcW w:w="3369" w:type="dxa"/>
            <w:tcBorders>
              <w:top w:val="single" w:sz="8" w:space="0" w:color="53548A"/>
              <w:left w:val="single" w:sz="8" w:space="0" w:color="53548A"/>
              <w:bottom w:val="single" w:sz="8" w:space="0" w:color="53548A"/>
            </w:tcBorders>
            <w:shd w:val="clear" w:color="auto" w:fill="DADAE9"/>
          </w:tcPr>
          <w:p w:rsidR="00EE3463" w:rsidRDefault="00EE3463" w:rsidP="00EE34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Histology HPV Code</w:t>
            </w:r>
          </w:p>
          <w:p w:rsidR="00EE3463" w:rsidRPr="0035084B" w:rsidRDefault="00EE3463" w:rsidP="00FF529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53548A"/>
              <w:bottom w:val="single" w:sz="8" w:space="0" w:color="53548A"/>
            </w:tcBorders>
          </w:tcPr>
          <w:p w:rsidR="00EE3463" w:rsidRPr="0035084B" w:rsidRDefault="00EE3463" w:rsidP="005B03E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938" w:type="dxa"/>
            <w:tcBorders>
              <w:top w:val="single" w:sz="8" w:space="0" w:color="53548A"/>
              <w:bottom w:val="single" w:sz="8" w:space="0" w:color="53548A"/>
              <w:right w:val="single" w:sz="8" w:space="0" w:color="53548A"/>
            </w:tcBorders>
          </w:tcPr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0 = N/A no squamous tissue collected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1 = Absent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2 = Suggestive, possible</w:t>
            </w:r>
          </w:p>
          <w:p w:rsid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3 = Definite, consistent</w:t>
            </w:r>
          </w:p>
          <w:p w:rsidR="00EE3463" w:rsidRPr="00E97FDF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EE3463" w:rsidRPr="00AC733E" w:rsidTr="0004031B">
        <w:trPr>
          <w:cantSplit/>
        </w:trPr>
        <w:tc>
          <w:tcPr>
            <w:tcW w:w="3369" w:type="dxa"/>
            <w:tcBorders>
              <w:top w:val="single" w:sz="8" w:space="0" w:color="53548A"/>
              <w:left w:val="single" w:sz="8" w:space="0" w:color="53548A"/>
              <w:bottom w:val="single" w:sz="8" w:space="0" w:color="53548A"/>
            </w:tcBorders>
            <w:shd w:val="clear" w:color="auto" w:fill="DADAE9"/>
          </w:tcPr>
          <w:p w:rsidR="00EE3463" w:rsidRDefault="00EE3463" w:rsidP="00EE34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Histology Endocervical Code</w:t>
            </w:r>
          </w:p>
          <w:p w:rsidR="00EE3463" w:rsidRPr="0035084B" w:rsidRDefault="00EE3463" w:rsidP="00FF529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53548A"/>
              <w:bottom w:val="single" w:sz="8" w:space="0" w:color="53548A"/>
            </w:tcBorders>
          </w:tcPr>
          <w:p w:rsidR="00EE3463" w:rsidRPr="0035084B" w:rsidRDefault="00EE3463" w:rsidP="005B03E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938" w:type="dxa"/>
            <w:tcBorders>
              <w:top w:val="single" w:sz="8" w:space="0" w:color="53548A"/>
              <w:bottom w:val="single" w:sz="8" w:space="0" w:color="53548A"/>
              <w:right w:val="single" w:sz="8" w:space="0" w:color="53548A"/>
            </w:tcBorders>
          </w:tcPr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0 = Not applicable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1 = Normal; inflammatory or reactive changes; endocervical polyp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2 = Mild nuclear changes (probably reactive)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3 = Endocervical dysplasia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4 = Adenocarcinoma insitu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5 = Microinvasive adenocarcinoma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6 = Invasive adenocarcinoma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7 = Adenosquamous carcinoma (cervix)</w:t>
            </w:r>
          </w:p>
          <w:p w:rsid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8 = Carcinoma of cervix (other)</w:t>
            </w:r>
          </w:p>
          <w:p w:rsidR="00EE3463" w:rsidRPr="00E97FDF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EE3463" w:rsidRPr="00AC733E" w:rsidTr="0004031B">
        <w:trPr>
          <w:cantSplit/>
        </w:trPr>
        <w:tc>
          <w:tcPr>
            <w:tcW w:w="3369" w:type="dxa"/>
            <w:tcBorders>
              <w:top w:val="single" w:sz="8" w:space="0" w:color="53548A"/>
              <w:left w:val="single" w:sz="8" w:space="0" w:color="53548A"/>
              <w:bottom w:val="single" w:sz="8" w:space="0" w:color="53548A"/>
            </w:tcBorders>
            <w:shd w:val="clear" w:color="auto" w:fill="DADAE9"/>
          </w:tcPr>
          <w:p w:rsidR="00EE3463" w:rsidRDefault="00EE3463" w:rsidP="00EE34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Histology Endometrial Code</w:t>
            </w:r>
          </w:p>
          <w:p w:rsidR="00EE3463" w:rsidRPr="0035084B" w:rsidRDefault="00EE3463" w:rsidP="00FF529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53548A"/>
              <w:bottom w:val="single" w:sz="8" w:space="0" w:color="53548A"/>
            </w:tcBorders>
          </w:tcPr>
          <w:p w:rsidR="00EE3463" w:rsidRPr="0035084B" w:rsidRDefault="00EE3463" w:rsidP="005B03E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938" w:type="dxa"/>
            <w:tcBorders>
              <w:top w:val="single" w:sz="8" w:space="0" w:color="53548A"/>
              <w:bottom w:val="single" w:sz="8" w:space="0" w:color="53548A"/>
              <w:right w:val="single" w:sz="8" w:space="0" w:color="53548A"/>
            </w:tcBorders>
          </w:tcPr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0 = Not applicable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1 = Benign endometrial cell changes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2 = Pre Malignant endometrial cell changes</w:t>
            </w:r>
          </w:p>
          <w:p w:rsid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3 = Malignant endometrial cell changes</w:t>
            </w:r>
          </w:p>
          <w:p w:rsidR="00EE3463" w:rsidRPr="00E97FDF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EE3463" w:rsidRPr="00AC733E" w:rsidTr="0004031B">
        <w:trPr>
          <w:cantSplit/>
        </w:trPr>
        <w:tc>
          <w:tcPr>
            <w:tcW w:w="3369" w:type="dxa"/>
            <w:tcBorders>
              <w:top w:val="single" w:sz="8" w:space="0" w:color="53548A"/>
              <w:left w:val="single" w:sz="8" w:space="0" w:color="53548A"/>
              <w:bottom w:val="single" w:sz="8" w:space="0" w:color="53548A"/>
            </w:tcBorders>
            <w:shd w:val="clear" w:color="auto" w:fill="DADAE9"/>
          </w:tcPr>
          <w:p w:rsidR="00EE3463" w:rsidRDefault="00EE3463" w:rsidP="00EE346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Histology Other Code</w:t>
            </w:r>
          </w:p>
          <w:p w:rsidR="00EE3463" w:rsidRPr="0035084B" w:rsidRDefault="00EE3463" w:rsidP="00FF529C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53548A"/>
              <w:bottom w:val="single" w:sz="8" w:space="0" w:color="53548A"/>
            </w:tcBorders>
          </w:tcPr>
          <w:p w:rsidR="00EE3463" w:rsidRPr="0035084B" w:rsidRDefault="00EE3463" w:rsidP="005B03E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938" w:type="dxa"/>
            <w:tcBorders>
              <w:top w:val="single" w:sz="8" w:space="0" w:color="53548A"/>
              <w:bottom w:val="single" w:sz="8" w:space="0" w:color="53548A"/>
              <w:right w:val="single" w:sz="8" w:space="0" w:color="53548A"/>
            </w:tcBorders>
          </w:tcPr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0 = Not applicable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1 = Normal vaginal tissues; inflammatory, reactive or hormonal changes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2 = HPV effect in vaginal tissues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3 = Vaginal intraepithelial dysplasia (VAIN1/2/3)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4 = Vulval neoplasia in-situ or invasive (VIN)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5 = Vaginal squamous cell carcinoma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6 = Vaginal adenocarcinoma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7 = Ovarian Carcinoma (all types)</w:t>
            </w:r>
          </w:p>
          <w:p w:rsidR="00EE3463" w:rsidRP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8 = Metastatic tumour from outside female genital tract</w:t>
            </w:r>
          </w:p>
          <w:p w:rsidR="00EE3463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  <w:r w:rsidRPr="00EE3463">
              <w:rPr>
                <w:rFonts w:asciiTheme="minorHAnsi" w:hAnsiTheme="minorHAnsi" w:cstheme="minorHAnsi"/>
                <w:sz w:val="18"/>
              </w:rPr>
              <w:t>9 = Other malignancy (mesenchymal; trophoblastic; germ cell; unknown origin)</w:t>
            </w:r>
          </w:p>
          <w:p w:rsidR="00EE3463" w:rsidRPr="00E97FDF" w:rsidRDefault="00EE3463" w:rsidP="00EE3463">
            <w:pPr>
              <w:spacing w:after="0" w:line="240" w:lineRule="auto"/>
              <w:rPr>
                <w:rFonts w:asciiTheme="minorHAnsi" w:hAnsiTheme="minorHAnsi" w:cstheme="minorHAnsi"/>
                <w:sz w:val="18"/>
              </w:rPr>
            </w:pPr>
          </w:p>
        </w:tc>
      </w:tr>
      <w:tr w:rsidR="0004031B" w:rsidRPr="00AC733E" w:rsidTr="0004031B">
        <w:trPr>
          <w:cantSplit/>
        </w:trPr>
        <w:tc>
          <w:tcPr>
            <w:tcW w:w="14425" w:type="dxa"/>
            <w:gridSpan w:val="3"/>
            <w:tcBorders>
              <w:top w:val="single" w:sz="8" w:space="0" w:color="53548A"/>
              <w:left w:val="single" w:sz="8" w:space="0" w:color="53548A"/>
              <w:bottom w:val="single" w:sz="8" w:space="0" w:color="53548A"/>
              <w:right w:val="single" w:sz="8" w:space="0" w:color="53548A"/>
            </w:tcBorders>
            <w:shd w:val="clear" w:color="auto" w:fill="95B3D7" w:themeFill="accent1" w:themeFillTint="99"/>
          </w:tcPr>
          <w:p w:rsidR="0004031B" w:rsidRPr="0035084B" w:rsidRDefault="0004031B" w:rsidP="0092794E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HPV</w:t>
            </w:r>
            <w:r w:rsidRPr="0035084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Test Data</w:t>
            </w:r>
          </w:p>
        </w:tc>
      </w:tr>
      <w:tr w:rsidR="0004031B" w:rsidRPr="00AC733E" w:rsidTr="0004031B">
        <w:trPr>
          <w:cantSplit/>
        </w:trPr>
        <w:tc>
          <w:tcPr>
            <w:tcW w:w="3369" w:type="dxa"/>
            <w:tcBorders>
              <w:top w:val="single" w:sz="8" w:space="0" w:color="53548A"/>
              <w:left w:val="single" w:sz="8" w:space="0" w:color="53548A"/>
              <w:bottom w:val="single" w:sz="8" w:space="0" w:color="53548A"/>
            </w:tcBorders>
            <w:shd w:val="clear" w:color="auto" w:fill="DADAE9"/>
          </w:tcPr>
          <w:p w:rsidR="0004031B" w:rsidRPr="0035084B" w:rsidRDefault="0004031B" w:rsidP="003B69B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35084B">
              <w:rPr>
                <w:rFonts w:asciiTheme="minorHAnsi" w:hAnsiTheme="minorHAnsi" w:cstheme="minorHAnsi"/>
                <w:bCs/>
                <w:color w:val="000000"/>
              </w:rPr>
              <w:t>HPV Test Type code</w:t>
            </w:r>
          </w:p>
        </w:tc>
        <w:tc>
          <w:tcPr>
            <w:tcW w:w="3118" w:type="dxa"/>
            <w:tcBorders>
              <w:top w:val="single" w:sz="8" w:space="0" w:color="53548A"/>
              <w:bottom w:val="single" w:sz="8" w:space="0" w:color="53548A"/>
            </w:tcBorders>
          </w:tcPr>
          <w:p w:rsidR="0004031B" w:rsidRPr="0035084B" w:rsidRDefault="0004031B" w:rsidP="008058A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938" w:type="dxa"/>
            <w:tcBorders>
              <w:top w:val="single" w:sz="8" w:space="0" w:color="53548A"/>
              <w:bottom w:val="single" w:sz="8" w:space="0" w:color="53548A"/>
              <w:right w:val="single" w:sz="8" w:space="0" w:color="53548A"/>
            </w:tcBorders>
          </w:tcPr>
          <w:p w:rsidR="0004031B" w:rsidRPr="0004031B" w:rsidRDefault="0004031B" w:rsidP="000403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4031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HP1 = Digene (Hybrid Capture Test and Hybrid Capture II Test)</w:t>
            </w:r>
          </w:p>
          <w:p w:rsidR="0004031B" w:rsidRPr="0004031B" w:rsidRDefault="0004031B" w:rsidP="000403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4031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HP2 = PCR (Polymerase Chain Reaction)</w:t>
            </w:r>
          </w:p>
          <w:p w:rsidR="0004031B" w:rsidRPr="0004031B" w:rsidRDefault="0004031B" w:rsidP="000403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4031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HP3 = Non-amplified techniques</w:t>
            </w:r>
          </w:p>
          <w:p w:rsidR="0004031B" w:rsidRDefault="0004031B" w:rsidP="000403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4031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HP9 = Not stated</w:t>
            </w:r>
          </w:p>
          <w:p w:rsidR="0004031B" w:rsidRPr="008A0FB6" w:rsidRDefault="0004031B" w:rsidP="000403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4031B" w:rsidRPr="00AC733E" w:rsidTr="0004031B">
        <w:trPr>
          <w:cantSplit/>
        </w:trPr>
        <w:tc>
          <w:tcPr>
            <w:tcW w:w="3369" w:type="dxa"/>
            <w:tcBorders>
              <w:top w:val="single" w:sz="8" w:space="0" w:color="53548A"/>
              <w:left w:val="single" w:sz="8" w:space="0" w:color="53548A"/>
              <w:bottom w:val="single" w:sz="8" w:space="0" w:color="53548A"/>
            </w:tcBorders>
            <w:shd w:val="clear" w:color="auto" w:fill="DADAE9"/>
          </w:tcPr>
          <w:p w:rsidR="0004031B" w:rsidRPr="0035084B" w:rsidRDefault="0004031B" w:rsidP="0073170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35084B">
              <w:rPr>
                <w:rFonts w:asciiTheme="minorHAnsi" w:hAnsiTheme="minorHAnsi" w:cstheme="minorHAnsi"/>
                <w:bCs/>
                <w:color w:val="000000"/>
              </w:rPr>
              <w:t xml:space="preserve">HPV </w:t>
            </w:r>
            <w:r w:rsidRPr="0035084B">
              <w:rPr>
                <w:rFonts w:asciiTheme="minorHAnsi" w:hAnsiTheme="minorHAnsi" w:cstheme="minorHAnsi"/>
                <w:color w:val="000000"/>
              </w:rPr>
              <w:t>Test Result Code</w:t>
            </w:r>
          </w:p>
        </w:tc>
        <w:tc>
          <w:tcPr>
            <w:tcW w:w="3118" w:type="dxa"/>
            <w:tcBorders>
              <w:top w:val="single" w:sz="8" w:space="0" w:color="53548A"/>
              <w:bottom w:val="single" w:sz="8" w:space="0" w:color="53548A"/>
            </w:tcBorders>
          </w:tcPr>
          <w:p w:rsidR="0004031B" w:rsidRPr="0035084B" w:rsidRDefault="0004031B" w:rsidP="008058AF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938" w:type="dxa"/>
            <w:tcBorders>
              <w:top w:val="single" w:sz="8" w:space="0" w:color="53548A"/>
              <w:bottom w:val="single" w:sz="8" w:space="0" w:color="53548A"/>
              <w:right w:val="single" w:sz="8" w:space="0" w:color="53548A"/>
            </w:tcBorders>
          </w:tcPr>
          <w:p w:rsidR="0004031B" w:rsidRPr="0004031B" w:rsidRDefault="0004031B" w:rsidP="000403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4031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H0 = No high risk types of HPV DNA present</w:t>
            </w:r>
          </w:p>
          <w:p w:rsidR="0004031B" w:rsidRDefault="0004031B" w:rsidP="000403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4031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H1 = High risk types of HPV DNA present </w:t>
            </w:r>
          </w:p>
          <w:p w:rsidR="0004031B" w:rsidRPr="008A0FB6" w:rsidRDefault="0004031B" w:rsidP="0004031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04031B" w:rsidRPr="00AC733E" w:rsidTr="0004031B">
        <w:trPr>
          <w:cantSplit/>
        </w:trPr>
        <w:tc>
          <w:tcPr>
            <w:tcW w:w="14425" w:type="dxa"/>
            <w:gridSpan w:val="3"/>
            <w:tcBorders>
              <w:top w:val="single" w:sz="8" w:space="0" w:color="53548A"/>
              <w:left w:val="single" w:sz="8" w:space="0" w:color="53548A"/>
              <w:bottom w:val="single" w:sz="8" w:space="0" w:color="53548A"/>
            </w:tcBorders>
            <w:shd w:val="clear" w:color="auto" w:fill="DADAE9"/>
          </w:tcPr>
          <w:p w:rsidR="0004031B" w:rsidRPr="0035084B" w:rsidRDefault="0004031B" w:rsidP="00AC733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35084B">
              <w:rPr>
                <w:rFonts w:asciiTheme="minorHAnsi" w:hAnsiTheme="minorHAnsi" w:cstheme="minorHAnsi"/>
                <w:b/>
                <w:bCs/>
                <w:color w:val="000000"/>
              </w:rPr>
              <w:t>Test Provider data</w:t>
            </w:r>
          </w:p>
        </w:tc>
      </w:tr>
      <w:tr w:rsidR="0004031B" w:rsidRPr="00AC733E" w:rsidTr="0004031B">
        <w:trPr>
          <w:cantSplit/>
        </w:trPr>
        <w:tc>
          <w:tcPr>
            <w:tcW w:w="3369" w:type="dxa"/>
            <w:tcBorders>
              <w:top w:val="single" w:sz="8" w:space="0" w:color="53548A"/>
              <w:left w:val="single" w:sz="8" w:space="0" w:color="53548A"/>
              <w:bottom w:val="single" w:sz="8" w:space="0" w:color="53548A"/>
            </w:tcBorders>
            <w:shd w:val="clear" w:color="auto" w:fill="DADAE9"/>
          </w:tcPr>
          <w:p w:rsidR="0004031B" w:rsidRDefault="0004031B" w:rsidP="000403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Referring Practitioner Post</w:t>
            </w:r>
            <w:r w:rsidR="00856758">
              <w:rPr>
                <w:rFonts w:ascii="Calibri" w:hAnsi="Calibri"/>
                <w:color w:val="000000"/>
              </w:rPr>
              <w:t>c</w:t>
            </w:r>
            <w:r>
              <w:rPr>
                <w:rFonts w:ascii="Calibri" w:hAnsi="Calibri"/>
                <w:color w:val="000000"/>
              </w:rPr>
              <w:t>ode</w:t>
            </w:r>
          </w:p>
          <w:p w:rsidR="0004031B" w:rsidRPr="0035084B" w:rsidRDefault="0004031B" w:rsidP="00AC733E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3118" w:type="dxa"/>
            <w:tcBorders>
              <w:top w:val="single" w:sz="8" w:space="0" w:color="53548A"/>
              <w:bottom w:val="single" w:sz="8" w:space="0" w:color="53548A"/>
            </w:tcBorders>
          </w:tcPr>
          <w:p w:rsidR="0004031B" w:rsidRPr="0004031B" w:rsidRDefault="0004031B" w:rsidP="000403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Postcode of the individual health practitioner requesting the relevant pathology request form was submitted</w:t>
            </w:r>
          </w:p>
        </w:tc>
        <w:tc>
          <w:tcPr>
            <w:tcW w:w="7938" w:type="dxa"/>
            <w:tcBorders>
              <w:top w:val="single" w:sz="8" w:space="0" w:color="53548A"/>
              <w:bottom w:val="single" w:sz="8" w:space="0" w:color="53548A"/>
              <w:right w:val="single" w:sz="8" w:space="0" w:color="53548A"/>
            </w:tcBorders>
          </w:tcPr>
          <w:p w:rsidR="0004031B" w:rsidRPr="0035084B" w:rsidRDefault="0004031B" w:rsidP="00E75B49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nnnn</w:t>
            </w:r>
          </w:p>
        </w:tc>
      </w:tr>
    </w:tbl>
    <w:p w:rsidR="0035084B" w:rsidRPr="008959EA" w:rsidRDefault="0035084B" w:rsidP="008959EA">
      <w:pPr>
        <w:pStyle w:val="Heading1"/>
        <w:rPr>
          <w:sz w:val="28"/>
          <w:szCs w:val="28"/>
        </w:rPr>
      </w:pPr>
      <w:bookmarkStart w:id="3" w:name="_GoBack"/>
      <w:bookmarkEnd w:id="0"/>
      <w:bookmarkEnd w:id="1"/>
      <w:bookmarkEnd w:id="2"/>
      <w:bookmarkEnd w:id="3"/>
    </w:p>
    <w:sectPr w:rsidR="0035084B" w:rsidRPr="008959EA" w:rsidSect="00642E8A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459" w:rsidRDefault="00AC5459" w:rsidP="00D65965">
      <w:pPr>
        <w:spacing w:after="0" w:line="240" w:lineRule="auto"/>
      </w:pPr>
      <w:r>
        <w:separator/>
      </w:r>
    </w:p>
  </w:endnote>
  <w:endnote w:type="continuationSeparator" w:id="0">
    <w:p w:rsidR="00AC5459" w:rsidRDefault="00AC5459" w:rsidP="00D6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53548A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541"/>
      <w:gridCol w:w="8715"/>
    </w:tblGrid>
    <w:tr w:rsidR="006B6EA6" w:rsidRPr="00AC733E" w:rsidTr="0035084B">
      <w:tc>
        <w:tcPr>
          <w:tcW w:w="292" w:type="pct"/>
        </w:tcPr>
        <w:p w:rsidR="006B6EA6" w:rsidRPr="00AC733E" w:rsidRDefault="00062894" w:rsidP="00F00049">
          <w:pPr>
            <w:pStyle w:val="Footer"/>
            <w:rPr>
              <w:rFonts w:ascii="Corbel" w:hAnsi="Corbel"/>
              <w:color w:val="53548A"/>
            </w:rPr>
          </w:pPr>
          <w:r w:rsidRPr="00AC733E">
            <w:rPr>
              <w:rFonts w:ascii="Corbel" w:hAnsi="Corbel"/>
            </w:rPr>
            <w:fldChar w:fldCharType="begin"/>
          </w:r>
          <w:r w:rsidR="006B6EA6" w:rsidRPr="00AC733E">
            <w:rPr>
              <w:rFonts w:ascii="Corbel" w:hAnsi="Corbel"/>
            </w:rPr>
            <w:instrText xml:space="preserve"> PAGE   \* MERGEFORMAT </w:instrText>
          </w:r>
          <w:r w:rsidRPr="00AC733E">
            <w:rPr>
              <w:rFonts w:ascii="Corbel" w:hAnsi="Corbel"/>
            </w:rPr>
            <w:fldChar w:fldCharType="separate"/>
          </w:r>
          <w:r w:rsidR="00901420" w:rsidRPr="00901420">
            <w:rPr>
              <w:rFonts w:ascii="Corbel" w:hAnsi="Corbel"/>
              <w:noProof/>
              <w:color w:val="53548A"/>
            </w:rPr>
            <w:t>10</w:t>
          </w:r>
          <w:r w:rsidRPr="00AC733E">
            <w:rPr>
              <w:rFonts w:ascii="Corbel" w:hAnsi="Corbel"/>
            </w:rPr>
            <w:fldChar w:fldCharType="end"/>
          </w:r>
        </w:p>
      </w:tc>
      <w:tc>
        <w:tcPr>
          <w:tcW w:w="4708" w:type="pct"/>
        </w:tcPr>
        <w:p w:rsidR="006B6EA6" w:rsidRPr="00AC733E" w:rsidRDefault="006B6EA6" w:rsidP="00192485">
          <w:pPr>
            <w:pStyle w:val="Footer"/>
            <w:rPr>
              <w:rFonts w:ascii="Corbel" w:hAnsi="Corbel"/>
              <w:color w:val="53548A"/>
            </w:rPr>
          </w:pPr>
          <w:r>
            <w:rPr>
              <w:rFonts w:ascii="Corbel" w:hAnsi="Corbel"/>
              <w:color w:val="53548A"/>
            </w:rPr>
            <w:t>ACTCSR</w:t>
          </w:r>
          <w:r w:rsidRPr="00AC733E">
            <w:rPr>
              <w:rFonts w:ascii="Corbel" w:hAnsi="Corbel"/>
              <w:color w:val="53548A"/>
            </w:rPr>
            <w:t xml:space="preserve"> </w:t>
          </w:r>
          <w:r>
            <w:rPr>
              <w:rFonts w:ascii="Corbel" w:hAnsi="Corbel"/>
              <w:color w:val="53548A"/>
            </w:rPr>
            <w:t xml:space="preserve">Data Dictionary for Record Linkage                                                            </w:t>
          </w:r>
          <w:r w:rsidR="008B2721">
            <w:rPr>
              <w:rFonts w:ascii="Corbel" w:hAnsi="Corbel"/>
              <w:color w:val="53548A"/>
            </w:rPr>
            <w:t>10</w:t>
          </w:r>
          <w:r>
            <w:rPr>
              <w:rFonts w:ascii="Corbel" w:hAnsi="Corbel"/>
              <w:color w:val="53548A"/>
            </w:rPr>
            <w:t xml:space="preserve">  July 2017</w:t>
          </w:r>
        </w:p>
      </w:tc>
    </w:tr>
  </w:tbl>
  <w:p w:rsidR="006B6EA6" w:rsidRDefault="006B6E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459" w:rsidRDefault="00AC5459" w:rsidP="00D65965">
      <w:pPr>
        <w:spacing w:after="0" w:line="240" w:lineRule="auto"/>
      </w:pPr>
      <w:r>
        <w:separator/>
      </w:r>
    </w:p>
  </w:footnote>
  <w:footnote w:type="continuationSeparator" w:id="0">
    <w:p w:rsidR="00AC5459" w:rsidRDefault="00AC5459" w:rsidP="00D65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994A8B"/>
    <w:multiLevelType w:val="hybridMultilevel"/>
    <w:tmpl w:val="F53E10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C14E7"/>
    <w:multiLevelType w:val="hybridMultilevel"/>
    <w:tmpl w:val="47D63B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20465D"/>
    <w:multiLevelType w:val="hybridMultilevel"/>
    <w:tmpl w:val="93A0E492"/>
    <w:lvl w:ilvl="0" w:tplc="09AA0D9C">
      <w:numFmt w:val="bullet"/>
      <w:lvlText w:val="-"/>
      <w:lvlJc w:val="left"/>
      <w:pPr>
        <w:ind w:left="720" w:hanging="360"/>
      </w:pPr>
      <w:rPr>
        <w:rFonts w:ascii="Georgia" w:eastAsia="Georgia" w:hAnsi="Georgi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2529E"/>
    <w:multiLevelType w:val="hybridMultilevel"/>
    <w:tmpl w:val="7A8E22F6"/>
    <w:lvl w:ilvl="0" w:tplc="6580753A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4566120"/>
    <w:multiLevelType w:val="hybridMultilevel"/>
    <w:tmpl w:val="7C18349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35BDD"/>
    <w:multiLevelType w:val="multilevel"/>
    <w:tmpl w:val="FAAE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0F034F5"/>
    <w:multiLevelType w:val="hybridMultilevel"/>
    <w:tmpl w:val="8646CA8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2649CD"/>
    <w:multiLevelType w:val="hybridMultilevel"/>
    <w:tmpl w:val="EDAC68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EA44C7F"/>
    <w:multiLevelType w:val="hybridMultilevel"/>
    <w:tmpl w:val="F6FE2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E76AA5"/>
    <w:multiLevelType w:val="hybridMultilevel"/>
    <w:tmpl w:val="EFE84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A64681"/>
    <w:multiLevelType w:val="hybridMultilevel"/>
    <w:tmpl w:val="0EB80C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9"/>
  </w:num>
  <w:num w:numId="5">
    <w:abstractNumId w:val="17"/>
  </w:num>
  <w:num w:numId="6">
    <w:abstractNumId w:val="12"/>
  </w:num>
  <w:num w:numId="7">
    <w:abstractNumId w:val="14"/>
  </w:num>
  <w:num w:numId="8">
    <w:abstractNumId w:val="13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  <w:num w:numId="13">
    <w:abstractNumId w:val="6"/>
  </w:num>
  <w:num w:numId="14">
    <w:abstractNumId w:val="8"/>
  </w:num>
  <w:num w:numId="15">
    <w:abstractNumId w:val="1"/>
  </w:num>
  <w:num w:numId="16">
    <w:abstractNumId w:val="15"/>
  </w:num>
  <w:num w:numId="17">
    <w:abstractNumId w:val="7"/>
  </w:num>
  <w:num w:numId="18">
    <w:abstractNumId w:val="19"/>
  </w:num>
  <w:num w:numId="19">
    <w:abstractNumId w:val="21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5" w:hanging="283"/>
        </w:pPr>
        <w:rPr>
          <w:rFonts w:ascii="Symbol" w:hAnsi="Symbol" w:hint="default"/>
        </w:rPr>
      </w:lvl>
    </w:lvlOverride>
  </w:num>
  <w:num w:numId="21">
    <w:abstractNumId w:val="3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E05F4A"/>
    <w:rsid w:val="000176EC"/>
    <w:rsid w:val="000177F5"/>
    <w:rsid w:val="00020FCE"/>
    <w:rsid w:val="000323CD"/>
    <w:rsid w:val="000335AB"/>
    <w:rsid w:val="00036065"/>
    <w:rsid w:val="0004031B"/>
    <w:rsid w:val="0004138F"/>
    <w:rsid w:val="00042765"/>
    <w:rsid w:val="00043431"/>
    <w:rsid w:val="00050EDE"/>
    <w:rsid w:val="00054C31"/>
    <w:rsid w:val="00062894"/>
    <w:rsid w:val="0006661E"/>
    <w:rsid w:val="000669A2"/>
    <w:rsid w:val="000842B6"/>
    <w:rsid w:val="00087354"/>
    <w:rsid w:val="00087367"/>
    <w:rsid w:val="000A055E"/>
    <w:rsid w:val="000A426B"/>
    <w:rsid w:val="000A43DF"/>
    <w:rsid w:val="000A52D5"/>
    <w:rsid w:val="000B2899"/>
    <w:rsid w:val="000B388F"/>
    <w:rsid w:val="000B6BFA"/>
    <w:rsid w:val="000C0D3A"/>
    <w:rsid w:val="000C12F9"/>
    <w:rsid w:val="000C1508"/>
    <w:rsid w:val="000C3041"/>
    <w:rsid w:val="000C6EF6"/>
    <w:rsid w:val="000C7E39"/>
    <w:rsid w:val="000D359B"/>
    <w:rsid w:val="000D3697"/>
    <w:rsid w:val="000D4DEE"/>
    <w:rsid w:val="000E099D"/>
    <w:rsid w:val="000E10E7"/>
    <w:rsid w:val="000E4488"/>
    <w:rsid w:val="000E49D4"/>
    <w:rsid w:val="000F050A"/>
    <w:rsid w:val="000F6888"/>
    <w:rsid w:val="000F7EA8"/>
    <w:rsid w:val="00102DBC"/>
    <w:rsid w:val="00112B79"/>
    <w:rsid w:val="00115E05"/>
    <w:rsid w:val="001225DA"/>
    <w:rsid w:val="0012291D"/>
    <w:rsid w:val="00130BF7"/>
    <w:rsid w:val="0013216B"/>
    <w:rsid w:val="00133112"/>
    <w:rsid w:val="00136F95"/>
    <w:rsid w:val="00143EBC"/>
    <w:rsid w:val="00144E32"/>
    <w:rsid w:val="00155169"/>
    <w:rsid w:val="001661C7"/>
    <w:rsid w:val="00166E18"/>
    <w:rsid w:val="001814ED"/>
    <w:rsid w:val="00184E09"/>
    <w:rsid w:val="00192485"/>
    <w:rsid w:val="00194E67"/>
    <w:rsid w:val="00196FAE"/>
    <w:rsid w:val="00197933"/>
    <w:rsid w:val="001A2515"/>
    <w:rsid w:val="001E0FEE"/>
    <w:rsid w:val="001E3EE1"/>
    <w:rsid w:val="001E72E6"/>
    <w:rsid w:val="001F0503"/>
    <w:rsid w:val="001F1664"/>
    <w:rsid w:val="001F6543"/>
    <w:rsid w:val="001F7736"/>
    <w:rsid w:val="00205896"/>
    <w:rsid w:val="00215F58"/>
    <w:rsid w:val="002208FC"/>
    <w:rsid w:val="00224FE3"/>
    <w:rsid w:val="00242A90"/>
    <w:rsid w:val="002433B2"/>
    <w:rsid w:val="00243F32"/>
    <w:rsid w:val="00251293"/>
    <w:rsid w:val="0025782D"/>
    <w:rsid w:val="00261FBF"/>
    <w:rsid w:val="00262297"/>
    <w:rsid w:val="002672FF"/>
    <w:rsid w:val="00267B2E"/>
    <w:rsid w:val="00274105"/>
    <w:rsid w:val="002756ED"/>
    <w:rsid w:val="00280E5C"/>
    <w:rsid w:val="0028157E"/>
    <w:rsid w:val="002823E6"/>
    <w:rsid w:val="00284A08"/>
    <w:rsid w:val="0028592F"/>
    <w:rsid w:val="002919A8"/>
    <w:rsid w:val="00292591"/>
    <w:rsid w:val="0029621F"/>
    <w:rsid w:val="002A79F8"/>
    <w:rsid w:val="002B245C"/>
    <w:rsid w:val="002B4569"/>
    <w:rsid w:val="002B629E"/>
    <w:rsid w:val="002B6962"/>
    <w:rsid w:val="002C244C"/>
    <w:rsid w:val="002C54E0"/>
    <w:rsid w:val="002E24F0"/>
    <w:rsid w:val="002E651E"/>
    <w:rsid w:val="002E7B76"/>
    <w:rsid w:val="002F480F"/>
    <w:rsid w:val="002F69A8"/>
    <w:rsid w:val="00305A7A"/>
    <w:rsid w:val="00306FC9"/>
    <w:rsid w:val="0031432E"/>
    <w:rsid w:val="003224A2"/>
    <w:rsid w:val="00325789"/>
    <w:rsid w:val="00334AA0"/>
    <w:rsid w:val="00335149"/>
    <w:rsid w:val="00340529"/>
    <w:rsid w:val="00341001"/>
    <w:rsid w:val="00341A17"/>
    <w:rsid w:val="00343065"/>
    <w:rsid w:val="0034490B"/>
    <w:rsid w:val="0035084B"/>
    <w:rsid w:val="00351915"/>
    <w:rsid w:val="003555B2"/>
    <w:rsid w:val="00356646"/>
    <w:rsid w:val="00360FB3"/>
    <w:rsid w:val="00371E6C"/>
    <w:rsid w:val="0037731F"/>
    <w:rsid w:val="00377478"/>
    <w:rsid w:val="003907EC"/>
    <w:rsid w:val="003A316B"/>
    <w:rsid w:val="003B0870"/>
    <w:rsid w:val="003B429E"/>
    <w:rsid w:val="003B69BE"/>
    <w:rsid w:val="003C635A"/>
    <w:rsid w:val="003D3C9F"/>
    <w:rsid w:val="003D57BB"/>
    <w:rsid w:val="003E02F9"/>
    <w:rsid w:val="003E4CA8"/>
    <w:rsid w:val="003F0A78"/>
    <w:rsid w:val="003F1BE7"/>
    <w:rsid w:val="003F5FF5"/>
    <w:rsid w:val="004042EC"/>
    <w:rsid w:val="00412160"/>
    <w:rsid w:val="00414C49"/>
    <w:rsid w:val="00416A9C"/>
    <w:rsid w:val="0043656F"/>
    <w:rsid w:val="00441443"/>
    <w:rsid w:val="00441D41"/>
    <w:rsid w:val="00442EA8"/>
    <w:rsid w:val="00445395"/>
    <w:rsid w:val="00445B28"/>
    <w:rsid w:val="00463406"/>
    <w:rsid w:val="00465D9D"/>
    <w:rsid w:val="004662CD"/>
    <w:rsid w:val="00470082"/>
    <w:rsid w:val="004762C5"/>
    <w:rsid w:val="00477910"/>
    <w:rsid w:val="00486AB4"/>
    <w:rsid w:val="00490C18"/>
    <w:rsid w:val="00493D3A"/>
    <w:rsid w:val="00496A49"/>
    <w:rsid w:val="004A25FA"/>
    <w:rsid w:val="004A7C01"/>
    <w:rsid w:val="004B6110"/>
    <w:rsid w:val="004B7423"/>
    <w:rsid w:val="004C15DB"/>
    <w:rsid w:val="004C1922"/>
    <w:rsid w:val="004C37F2"/>
    <w:rsid w:val="004C77DE"/>
    <w:rsid w:val="004D4A97"/>
    <w:rsid w:val="004E3961"/>
    <w:rsid w:val="004E4331"/>
    <w:rsid w:val="004E64E7"/>
    <w:rsid w:val="004E6AC1"/>
    <w:rsid w:val="004F3735"/>
    <w:rsid w:val="004F4C37"/>
    <w:rsid w:val="00502A2F"/>
    <w:rsid w:val="00502C21"/>
    <w:rsid w:val="00502ED9"/>
    <w:rsid w:val="00503415"/>
    <w:rsid w:val="00506DFF"/>
    <w:rsid w:val="00514648"/>
    <w:rsid w:val="00517AC1"/>
    <w:rsid w:val="00520E55"/>
    <w:rsid w:val="005303E8"/>
    <w:rsid w:val="005341C6"/>
    <w:rsid w:val="005451FE"/>
    <w:rsid w:val="00545D25"/>
    <w:rsid w:val="00550D03"/>
    <w:rsid w:val="00552B79"/>
    <w:rsid w:val="00563EFE"/>
    <w:rsid w:val="00571C3E"/>
    <w:rsid w:val="00572209"/>
    <w:rsid w:val="00582A1F"/>
    <w:rsid w:val="00583CCE"/>
    <w:rsid w:val="00585088"/>
    <w:rsid w:val="00587939"/>
    <w:rsid w:val="005919B2"/>
    <w:rsid w:val="00592C5F"/>
    <w:rsid w:val="00593D6F"/>
    <w:rsid w:val="005A2203"/>
    <w:rsid w:val="005A2409"/>
    <w:rsid w:val="005A26D3"/>
    <w:rsid w:val="005A2BE1"/>
    <w:rsid w:val="005A5E53"/>
    <w:rsid w:val="005A5EE4"/>
    <w:rsid w:val="005B03EA"/>
    <w:rsid w:val="005B419C"/>
    <w:rsid w:val="005B5380"/>
    <w:rsid w:val="005C680C"/>
    <w:rsid w:val="005D16F1"/>
    <w:rsid w:val="005D1EF9"/>
    <w:rsid w:val="005E2800"/>
    <w:rsid w:val="005E650C"/>
    <w:rsid w:val="00614494"/>
    <w:rsid w:val="00620BF4"/>
    <w:rsid w:val="00622CC8"/>
    <w:rsid w:val="00623393"/>
    <w:rsid w:val="00625856"/>
    <w:rsid w:val="00627B3D"/>
    <w:rsid w:val="006302A2"/>
    <w:rsid w:val="006321D1"/>
    <w:rsid w:val="006336FB"/>
    <w:rsid w:val="00636D92"/>
    <w:rsid w:val="00640590"/>
    <w:rsid w:val="00642616"/>
    <w:rsid w:val="00642E8A"/>
    <w:rsid w:val="006436E3"/>
    <w:rsid w:val="00643DFF"/>
    <w:rsid w:val="00651362"/>
    <w:rsid w:val="006515C5"/>
    <w:rsid w:val="006517BA"/>
    <w:rsid w:val="00657E2B"/>
    <w:rsid w:val="006714FA"/>
    <w:rsid w:val="00672FB6"/>
    <w:rsid w:val="0067500F"/>
    <w:rsid w:val="0067646A"/>
    <w:rsid w:val="0068009C"/>
    <w:rsid w:val="00680F66"/>
    <w:rsid w:val="00685A27"/>
    <w:rsid w:val="00687B4B"/>
    <w:rsid w:val="00690D41"/>
    <w:rsid w:val="006A08AA"/>
    <w:rsid w:val="006A222B"/>
    <w:rsid w:val="006A48B0"/>
    <w:rsid w:val="006B3CCC"/>
    <w:rsid w:val="006B67E3"/>
    <w:rsid w:val="006B6EA6"/>
    <w:rsid w:val="006C4DEF"/>
    <w:rsid w:val="006C5612"/>
    <w:rsid w:val="006D5B4F"/>
    <w:rsid w:val="006F6379"/>
    <w:rsid w:val="006F7C10"/>
    <w:rsid w:val="0070283C"/>
    <w:rsid w:val="0070333F"/>
    <w:rsid w:val="00703FCD"/>
    <w:rsid w:val="00707BA2"/>
    <w:rsid w:val="007104BD"/>
    <w:rsid w:val="007135AF"/>
    <w:rsid w:val="0072157E"/>
    <w:rsid w:val="0072575A"/>
    <w:rsid w:val="0073170E"/>
    <w:rsid w:val="00733219"/>
    <w:rsid w:val="00735AC3"/>
    <w:rsid w:val="0073766F"/>
    <w:rsid w:val="00742CD5"/>
    <w:rsid w:val="00757D84"/>
    <w:rsid w:val="0077255B"/>
    <w:rsid w:val="00776191"/>
    <w:rsid w:val="0077642A"/>
    <w:rsid w:val="0078051B"/>
    <w:rsid w:val="007824E0"/>
    <w:rsid w:val="00783445"/>
    <w:rsid w:val="00783764"/>
    <w:rsid w:val="007A1D11"/>
    <w:rsid w:val="007A4F19"/>
    <w:rsid w:val="007B5639"/>
    <w:rsid w:val="007C09D6"/>
    <w:rsid w:val="007C2D56"/>
    <w:rsid w:val="007C3C35"/>
    <w:rsid w:val="007C7901"/>
    <w:rsid w:val="007D044C"/>
    <w:rsid w:val="007D335E"/>
    <w:rsid w:val="007E4C83"/>
    <w:rsid w:val="007E4CF0"/>
    <w:rsid w:val="007F13EB"/>
    <w:rsid w:val="007F5498"/>
    <w:rsid w:val="008002E6"/>
    <w:rsid w:val="00802133"/>
    <w:rsid w:val="00805208"/>
    <w:rsid w:val="008058AF"/>
    <w:rsid w:val="00806D79"/>
    <w:rsid w:val="008079D2"/>
    <w:rsid w:val="008106D1"/>
    <w:rsid w:val="00810E35"/>
    <w:rsid w:val="00811049"/>
    <w:rsid w:val="00823901"/>
    <w:rsid w:val="00824E33"/>
    <w:rsid w:val="008266CB"/>
    <w:rsid w:val="00826E47"/>
    <w:rsid w:val="0083400C"/>
    <w:rsid w:val="008411F1"/>
    <w:rsid w:val="00843E99"/>
    <w:rsid w:val="00850863"/>
    <w:rsid w:val="00850B0E"/>
    <w:rsid w:val="0085161F"/>
    <w:rsid w:val="00855EE7"/>
    <w:rsid w:val="008565E6"/>
    <w:rsid w:val="00856758"/>
    <w:rsid w:val="008615D9"/>
    <w:rsid w:val="00866F38"/>
    <w:rsid w:val="00870B7C"/>
    <w:rsid w:val="00873C67"/>
    <w:rsid w:val="008810BF"/>
    <w:rsid w:val="008868EC"/>
    <w:rsid w:val="008959EA"/>
    <w:rsid w:val="00896BE2"/>
    <w:rsid w:val="00897BC9"/>
    <w:rsid w:val="008A086C"/>
    <w:rsid w:val="008A0FB6"/>
    <w:rsid w:val="008A3877"/>
    <w:rsid w:val="008A4893"/>
    <w:rsid w:val="008A71E0"/>
    <w:rsid w:val="008A74EE"/>
    <w:rsid w:val="008B0C22"/>
    <w:rsid w:val="008B2721"/>
    <w:rsid w:val="008B4015"/>
    <w:rsid w:val="008B59EF"/>
    <w:rsid w:val="008C7D8A"/>
    <w:rsid w:val="008D0D6F"/>
    <w:rsid w:val="008D278B"/>
    <w:rsid w:val="008E6D7C"/>
    <w:rsid w:val="008F0B5F"/>
    <w:rsid w:val="008F2071"/>
    <w:rsid w:val="008F5537"/>
    <w:rsid w:val="008F6CBF"/>
    <w:rsid w:val="00901420"/>
    <w:rsid w:val="00906B06"/>
    <w:rsid w:val="009157DF"/>
    <w:rsid w:val="0092794E"/>
    <w:rsid w:val="009436A7"/>
    <w:rsid w:val="0095625C"/>
    <w:rsid w:val="009612D9"/>
    <w:rsid w:val="009658F5"/>
    <w:rsid w:val="009662AF"/>
    <w:rsid w:val="0096739F"/>
    <w:rsid w:val="00977783"/>
    <w:rsid w:val="00977D0D"/>
    <w:rsid w:val="009821BE"/>
    <w:rsid w:val="00983399"/>
    <w:rsid w:val="00983826"/>
    <w:rsid w:val="009908B7"/>
    <w:rsid w:val="0099428C"/>
    <w:rsid w:val="009A0059"/>
    <w:rsid w:val="009A3AF3"/>
    <w:rsid w:val="009A3E8E"/>
    <w:rsid w:val="009A7461"/>
    <w:rsid w:val="009B6893"/>
    <w:rsid w:val="009C76DC"/>
    <w:rsid w:val="009C78D2"/>
    <w:rsid w:val="009C7FE3"/>
    <w:rsid w:val="009D07E2"/>
    <w:rsid w:val="009D0939"/>
    <w:rsid w:val="009E4B93"/>
    <w:rsid w:val="009E5DBA"/>
    <w:rsid w:val="009E64FD"/>
    <w:rsid w:val="009F7BC7"/>
    <w:rsid w:val="00A01C9B"/>
    <w:rsid w:val="00A026D7"/>
    <w:rsid w:val="00A110F2"/>
    <w:rsid w:val="00A117B7"/>
    <w:rsid w:val="00A15BF2"/>
    <w:rsid w:val="00A23F28"/>
    <w:rsid w:val="00A245FA"/>
    <w:rsid w:val="00A24D4A"/>
    <w:rsid w:val="00A26830"/>
    <w:rsid w:val="00A26B43"/>
    <w:rsid w:val="00A4027E"/>
    <w:rsid w:val="00A40D9F"/>
    <w:rsid w:val="00A426B0"/>
    <w:rsid w:val="00A4528A"/>
    <w:rsid w:val="00A47363"/>
    <w:rsid w:val="00A47B1C"/>
    <w:rsid w:val="00A53063"/>
    <w:rsid w:val="00A579C9"/>
    <w:rsid w:val="00A63330"/>
    <w:rsid w:val="00A67E9E"/>
    <w:rsid w:val="00A722C7"/>
    <w:rsid w:val="00A76989"/>
    <w:rsid w:val="00A8002D"/>
    <w:rsid w:val="00A81A66"/>
    <w:rsid w:val="00A94A1C"/>
    <w:rsid w:val="00AA0BA7"/>
    <w:rsid w:val="00AA148C"/>
    <w:rsid w:val="00AA1DF5"/>
    <w:rsid w:val="00AA541F"/>
    <w:rsid w:val="00AB088A"/>
    <w:rsid w:val="00AB2073"/>
    <w:rsid w:val="00AB4153"/>
    <w:rsid w:val="00AB6403"/>
    <w:rsid w:val="00AC2D38"/>
    <w:rsid w:val="00AC3CFE"/>
    <w:rsid w:val="00AC5418"/>
    <w:rsid w:val="00AC5459"/>
    <w:rsid w:val="00AC733E"/>
    <w:rsid w:val="00AD4B12"/>
    <w:rsid w:val="00AE2628"/>
    <w:rsid w:val="00B00687"/>
    <w:rsid w:val="00B00DD4"/>
    <w:rsid w:val="00B019F2"/>
    <w:rsid w:val="00B03F84"/>
    <w:rsid w:val="00B0469B"/>
    <w:rsid w:val="00B05237"/>
    <w:rsid w:val="00B078B9"/>
    <w:rsid w:val="00B13DAB"/>
    <w:rsid w:val="00B30A4A"/>
    <w:rsid w:val="00B30EBA"/>
    <w:rsid w:val="00B32323"/>
    <w:rsid w:val="00B33BF4"/>
    <w:rsid w:val="00B35AF8"/>
    <w:rsid w:val="00B37AC4"/>
    <w:rsid w:val="00B37AD6"/>
    <w:rsid w:val="00B42651"/>
    <w:rsid w:val="00B42EB0"/>
    <w:rsid w:val="00B54D5A"/>
    <w:rsid w:val="00B6365E"/>
    <w:rsid w:val="00B67C57"/>
    <w:rsid w:val="00B7178C"/>
    <w:rsid w:val="00B73B7D"/>
    <w:rsid w:val="00B8202E"/>
    <w:rsid w:val="00B837D1"/>
    <w:rsid w:val="00B918DB"/>
    <w:rsid w:val="00B91F23"/>
    <w:rsid w:val="00B95B1C"/>
    <w:rsid w:val="00B9731D"/>
    <w:rsid w:val="00BA4393"/>
    <w:rsid w:val="00BA51FB"/>
    <w:rsid w:val="00BB033C"/>
    <w:rsid w:val="00BB79DA"/>
    <w:rsid w:val="00BC3B16"/>
    <w:rsid w:val="00BC5768"/>
    <w:rsid w:val="00BD1F00"/>
    <w:rsid w:val="00BD3B84"/>
    <w:rsid w:val="00BD455A"/>
    <w:rsid w:val="00BD7627"/>
    <w:rsid w:val="00BE5D96"/>
    <w:rsid w:val="00BF0058"/>
    <w:rsid w:val="00BF00E3"/>
    <w:rsid w:val="00BF4C97"/>
    <w:rsid w:val="00C009C6"/>
    <w:rsid w:val="00C01F0B"/>
    <w:rsid w:val="00C047FB"/>
    <w:rsid w:val="00C06E0C"/>
    <w:rsid w:val="00C1021C"/>
    <w:rsid w:val="00C1142F"/>
    <w:rsid w:val="00C11E2E"/>
    <w:rsid w:val="00C1259C"/>
    <w:rsid w:val="00C16726"/>
    <w:rsid w:val="00C16763"/>
    <w:rsid w:val="00C204E2"/>
    <w:rsid w:val="00C22138"/>
    <w:rsid w:val="00C3220E"/>
    <w:rsid w:val="00C433BD"/>
    <w:rsid w:val="00C443B4"/>
    <w:rsid w:val="00C45FD0"/>
    <w:rsid w:val="00C5153D"/>
    <w:rsid w:val="00C537CC"/>
    <w:rsid w:val="00C53BDC"/>
    <w:rsid w:val="00C559DB"/>
    <w:rsid w:val="00C60DA9"/>
    <w:rsid w:val="00C6139A"/>
    <w:rsid w:val="00C64DCD"/>
    <w:rsid w:val="00C651AA"/>
    <w:rsid w:val="00C75658"/>
    <w:rsid w:val="00C765A7"/>
    <w:rsid w:val="00C806CC"/>
    <w:rsid w:val="00C86DDB"/>
    <w:rsid w:val="00CA5032"/>
    <w:rsid w:val="00CA7683"/>
    <w:rsid w:val="00CB2DCA"/>
    <w:rsid w:val="00CB4AC5"/>
    <w:rsid w:val="00CC3E07"/>
    <w:rsid w:val="00CC3F27"/>
    <w:rsid w:val="00CD14E0"/>
    <w:rsid w:val="00CD2157"/>
    <w:rsid w:val="00CD6F6C"/>
    <w:rsid w:val="00CE0881"/>
    <w:rsid w:val="00CE0F72"/>
    <w:rsid w:val="00CE2F2A"/>
    <w:rsid w:val="00CE6543"/>
    <w:rsid w:val="00CE6981"/>
    <w:rsid w:val="00CE70BD"/>
    <w:rsid w:val="00CF019C"/>
    <w:rsid w:val="00CF33F5"/>
    <w:rsid w:val="00CF3D8A"/>
    <w:rsid w:val="00CF5DD2"/>
    <w:rsid w:val="00D04E54"/>
    <w:rsid w:val="00D06885"/>
    <w:rsid w:val="00D06EA2"/>
    <w:rsid w:val="00D072DF"/>
    <w:rsid w:val="00D107BE"/>
    <w:rsid w:val="00D13418"/>
    <w:rsid w:val="00D1528F"/>
    <w:rsid w:val="00D17280"/>
    <w:rsid w:val="00D177FB"/>
    <w:rsid w:val="00D22C25"/>
    <w:rsid w:val="00D23547"/>
    <w:rsid w:val="00D248C4"/>
    <w:rsid w:val="00D271D9"/>
    <w:rsid w:val="00D2770A"/>
    <w:rsid w:val="00D3013C"/>
    <w:rsid w:val="00D325E8"/>
    <w:rsid w:val="00D329AE"/>
    <w:rsid w:val="00D33EE3"/>
    <w:rsid w:val="00D40DF4"/>
    <w:rsid w:val="00D43706"/>
    <w:rsid w:val="00D50DA1"/>
    <w:rsid w:val="00D560E3"/>
    <w:rsid w:val="00D6284E"/>
    <w:rsid w:val="00D65965"/>
    <w:rsid w:val="00D66541"/>
    <w:rsid w:val="00D71EC6"/>
    <w:rsid w:val="00D7230B"/>
    <w:rsid w:val="00D72391"/>
    <w:rsid w:val="00D77E42"/>
    <w:rsid w:val="00D80D9C"/>
    <w:rsid w:val="00D823A2"/>
    <w:rsid w:val="00D9086B"/>
    <w:rsid w:val="00D94BAE"/>
    <w:rsid w:val="00D94D38"/>
    <w:rsid w:val="00DB0EE4"/>
    <w:rsid w:val="00DC079D"/>
    <w:rsid w:val="00DC192B"/>
    <w:rsid w:val="00DC1DB8"/>
    <w:rsid w:val="00DE0BBE"/>
    <w:rsid w:val="00DE354D"/>
    <w:rsid w:val="00DE7D7C"/>
    <w:rsid w:val="00E017EF"/>
    <w:rsid w:val="00E043C3"/>
    <w:rsid w:val="00E05F4A"/>
    <w:rsid w:val="00E06422"/>
    <w:rsid w:val="00E10B27"/>
    <w:rsid w:val="00E11451"/>
    <w:rsid w:val="00E1305F"/>
    <w:rsid w:val="00E139C2"/>
    <w:rsid w:val="00E13A0E"/>
    <w:rsid w:val="00E15DFF"/>
    <w:rsid w:val="00E2473B"/>
    <w:rsid w:val="00E2567B"/>
    <w:rsid w:val="00E35AD3"/>
    <w:rsid w:val="00E374EB"/>
    <w:rsid w:val="00E37D2D"/>
    <w:rsid w:val="00E40F68"/>
    <w:rsid w:val="00E43EF9"/>
    <w:rsid w:val="00E46141"/>
    <w:rsid w:val="00E56386"/>
    <w:rsid w:val="00E578B5"/>
    <w:rsid w:val="00E70C59"/>
    <w:rsid w:val="00E72697"/>
    <w:rsid w:val="00E75B49"/>
    <w:rsid w:val="00E84C06"/>
    <w:rsid w:val="00E864C0"/>
    <w:rsid w:val="00E90215"/>
    <w:rsid w:val="00E90EAE"/>
    <w:rsid w:val="00E91316"/>
    <w:rsid w:val="00E92172"/>
    <w:rsid w:val="00E9273B"/>
    <w:rsid w:val="00E9467A"/>
    <w:rsid w:val="00E97FDF"/>
    <w:rsid w:val="00EA07E7"/>
    <w:rsid w:val="00EA147E"/>
    <w:rsid w:val="00EB1298"/>
    <w:rsid w:val="00EB65AB"/>
    <w:rsid w:val="00EB7109"/>
    <w:rsid w:val="00EC1044"/>
    <w:rsid w:val="00EE3463"/>
    <w:rsid w:val="00EF5229"/>
    <w:rsid w:val="00EF6317"/>
    <w:rsid w:val="00EF70A2"/>
    <w:rsid w:val="00EF766B"/>
    <w:rsid w:val="00F00049"/>
    <w:rsid w:val="00F00A62"/>
    <w:rsid w:val="00F02C7A"/>
    <w:rsid w:val="00F04214"/>
    <w:rsid w:val="00F052B1"/>
    <w:rsid w:val="00F076D2"/>
    <w:rsid w:val="00F10441"/>
    <w:rsid w:val="00F108F2"/>
    <w:rsid w:val="00F10FB0"/>
    <w:rsid w:val="00F1148F"/>
    <w:rsid w:val="00F13539"/>
    <w:rsid w:val="00F161ED"/>
    <w:rsid w:val="00F24836"/>
    <w:rsid w:val="00F26903"/>
    <w:rsid w:val="00F26D02"/>
    <w:rsid w:val="00F30039"/>
    <w:rsid w:val="00F32A04"/>
    <w:rsid w:val="00F42542"/>
    <w:rsid w:val="00F45F74"/>
    <w:rsid w:val="00F47FD1"/>
    <w:rsid w:val="00F70AF5"/>
    <w:rsid w:val="00F70DC8"/>
    <w:rsid w:val="00F70EA8"/>
    <w:rsid w:val="00F71626"/>
    <w:rsid w:val="00F72B49"/>
    <w:rsid w:val="00F73346"/>
    <w:rsid w:val="00F75B3C"/>
    <w:rsid w:val="00F83DDD"/>
    <w:rsid w:val="00F843E8"/>
    <w:rsid w:val="00F84B87"/>
    <w:rsid w:val="00F9007A"/>
    <w:rsid w:val="00F913D3"/>
    <w:rsid w:val="00F92F11"/>
    <w:rsid w:val="00FB25CF"/>
    <w:rsid w:val="00FB5C05"/>
    <w:rsid w:val="00FD16D1"/>
    <w:rsid w:val="00FD42E3"/>
    <w:rsid w:val="00FD5624"/>
    <w:rsid w:val="00FD72FB"/>
    <w:rsid w:val="00FD77E9"/>
    <w:rsid w:val="00FE3948"/>
    <w:rsid w:val="00FF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Georgia" w:hAnsi="Georg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F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669A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403152" w:themeColor="accent4" w:themeShade="80"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23"/>
    <w:pPr>
      <w:keepNext/>
      <w:keepLines/>
      <w:spacing w:before="200" w:after="0"/>
      <w:outlineLvl w:val="1"/>
    </w:pPr>
    <w:rPr>
      <w:rFonts w:ascii="Trebuchet MS" w:eastAsia="Times New Roman" w:hAnsi="Trebuchet MS"/>
      <w:b/>
      <w:bCs/>
      <w:color w:val="53548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5F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rPr>
      <w:color w:val="3E3E67"/>
    </w:rPr>
    <w:tblPr>
      <w:tblStyleRowBandSize w:val="1"/>
      <w:tblStyleColBandSize w:val="1"/>
      <w:tblInd w:w="0" w:type="dxa"/>
      <w:tblBorders>
        <w:top w:val="single" w:sz="8" w:space="0" w:color="53548A"/>
        <w:bottom w:val="single" w:sz="8" w:space="0" w:color="5354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/>
          <w:left w:val="nil"/>
          <w:bottom w:val="single" w:sz="8" w:space="0" w:color="53548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/>
          <w:left w:val="nil"/>
          <w:bottom w:val="single" w:sz="8" w:space="0" w:color="53548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tblPr>
      <w:tblStyleRowBandSize w:val="1"/>
      <w:tblStyleColBandSize w:val="1"/>
      <w:tblInd w:w="0" w:type="dxa"/>
      <w:tblBorders>
        <w:top w:val="single" w:sz="8" w:space="0" w:color="53548A"/>
        <w:left w:val="single" w:sz="8" w:space="0" w:color="53548A"/>
        <w:bottom w:val="single" w:sz="8" w:space="0" w:color="53548A"/>
        <w:right w:val="single" w:sz="8" w:space="0" w:color="5354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354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band1Horz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</w:style>
  <w:style w:type="paragraph" w:styleId="ListParagraph">
    <w:name w:val="List Paragraph"/>
    <w:basedOn w:val="Normal"/>
    <w:uiPriority w:val="34"/>
    <w:qFormat/>
    <w:rsid w:val="00E05F4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42EB0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42EB0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669A2"/>
    <w:rPr>
      <w:rFonts w:ascii="Arial" w:eastAsia="Times New Roman" w:hAnsi="Arial" w:cs="Arial"/>
      <w:b/>
      <w:bCs/>
      <w:color w:val="403152" w:themeColor="accent4" w:themeShade="8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B42EB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B32323"/>
    <w:rPr>
      <w:rFonts w:ascii="Trebuchet MS" w:eastAsia="Times New Roman" w:hAnsi="Trebuchet MS" w:cs="Times New Roman"/>
      <w:b/>
      <w:bCs/>
      <w:color w:val="53548A"/>
      <w:sz w:val="26"/>
      <w:szCs w:val="26"/>
    </w:rPr>
  </w:style>
  <w:style w:type="paragraph" w:customStyle="1" w:styleId="11E3E688A4464964B8CB7016D86E4AC1">
    <w:name w:val="11E3E688A4464964B8CB7016D86E4AC1"/>
    <w:rsid w:val="00AC5418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table" w:customStyle="1" w:styleId="MediumShading1-Accent11">
    <w:name w:val="Medium Shading 1 - Accent 11"/>
    <w:basedOn w:val="TableNormal"/>
    <w:uiPriority w:val="63"/>
    <w:rsid w:val="00CC3E07"/>
    <w:tblPr>
      <w:tblStyleRowBandSize w:val="1"/>
      <w:tblStyleColBandSize w:val="1"/>
      <w:tblInd w:w="0" w:type="dxa"/>
      <w:tblBorders>
        <w:top w:val="single" w:sz="8" w:space="0" w:color="7778AD"/>
        <w:left w:val="single" w:sz="8" w:space="0" w:color="7778AD"/>
        <w:bottom w:val="single" w:sz="8" w:space="0" w:color="7778AD"/>
        <w:right w:val="single" w:sz="8" w:space="0" w:color="7778AD"/>
        <w:insideH w:val="single" w:sz="8" w:space="0" w:color="7778A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778AD"/>
          <w:left w:val="single" w:sz="8" w:space="0" w:color="7778AD"/>
          <w:bottom w:val="single" w:sz="8" w:space="0" w:color="7778AD"/>
          <w:right w:val="single" w:sz="8" w:space="0" w:color="7778AD"/>
          <w:insideH w:val="nil"/>
          <w:insideV w:val="nil"/>
        </w:tcBorders>
        <w:shd w:val="clear" w:color="auto" w:fill="5354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/>
          <w:left w:val="single" w:sz="8" w:space="0" w:color="7778AD"/>
          <w:bottom w:val="single" w:sz="8" w:space="0" w:color="7778AD"/>
          <w:right w:val="single" w:sz="8" w:space="0" w:color="7778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rPr>
      <w:rFonts w:ascii="Trebuchet MS" w:eastAsia="Times New Roman" w:hAnsi="Trebuchet MS"/>
      <w:color w:val="000000"/>
    </w:rPr>
    <w:tblPr>
      <w:tblStyleRowBandSize w:val="1"/>
      <w:tblStyleColBandSize w:val="1"/>
      <w:tblInd w:w="0" w:type="dxa"/>
      <w:tblBorders>
        <w:top w:val="single" w:sz="8" w:space="0" w:color="53548A"/>
        <w:left w:val="single" w:sz="8" w:space="0" w:color="53548A"/>
        <w:bottom w:val="single" w:sz="8" w:space="0" w:color="53548A"/>
        <w:right w:val="single" w:sz="8" w:space="0" w:color="5354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3548A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3548A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7AC4"/>
    <w:pPr>
      <w:pBdr>
        <w:bottom w:val="single" w:sz="8" w:space="4" w:color="53548A"/>
      </w:pBdr>
      <w:spacing w:after="300" w:line="240" w:lineRule="auto"/>
      <w:contextualSpacing/>
    </w:pPr>
    <w:rPr>
      <w:rFonts w:ascii="Trebuchet MS" w:eastAsia="Times New Roman" w:hAnsi="Trebuchet MS"/>
      <w:color w:val="31324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7AC4"/>
    <w:rPr>
      <w:rFonts w:ascii="Trebuchet MS" w:eastAsia="Times New Roman" w:hAnsi="Trebuchet MS" w:cs="Times New Roman"/>
      <w:color w:val="313240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/>
      <w:u w:val="single"/>
    </w:rPr>
  </w:style>
  <w:style w:type="paragraph" w:styleId="NormalWeb">
    <w:name w:val="Normal (Web)"/>
    <w:basedOn w:val="Normal"/>
    <w:uiPriority w:val="99"/>
    <w:unhideWhenUsed/>
    <w:rsid w:val="007D044C"/>
    <w:pPr>
      <w:spacing w:before="80" w:after="8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7D044C"/>
    <w:rPr>
      <w:b/>
      <w:bCs/>
    </w:rPr>
  </w:style>
  <w:style w:type="paragraph" w:customStyle="1" w:styleId="Default">
    <w:name w:val="Default"/>
    <w:rsid w:val="00A426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Indent">
    <w:name w:val="Normal Indent"/>
    <w:basedOn w:val="Normal"/>
    <w:rsid w:val="0035084B"/>
    <w:pPr>
      <w:widowControl w:val="0"/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val="en-GB"/>
    </w:rPr>
  </w:style>
  <w:style w:type="paragraph" w:styleId="Revision">
    <w:name w:val="Revision"/>
    <w:hidden/>
    <w:uiPriority w:val="99"/>
    <w:semiHidden/>
    <w:rsid w:val="00B91F23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9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69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F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669A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403152" w:themeColor="accent4" w:themeShade="80"/>
      <w:kern w:val="32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2323"/>
    <w:pPr>
      <w:keepNext/>
      <w:keepLines/>
      <w:spacing w:before="200" w:after="0"/>
      <w:outlineLvl w:val="1"/>
    </w:pPr>
    <w:rPr>
      <w:rFonts w:ascii="Trebuchet MS" w:eastAsia="Times New Roman" w:hAnsi="Trebuchet MS"/>
      <w:b/>
      <w:bCs/>
      <w:color w:val="53548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5F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rPr>
      <w:color w:val="3E3E67"/>
    </w:rPr>
    <w:tblPr>
      <w:tblStyleRowBandSize w:val="1"/>
      <w:tblStyleColBandSize w:val="1"/>
      <w:tblInd w:w="0" w:type="dxa"/>
      <w:tblBorders>
        <w:top w:val="single" w:sz="8" w:space="0" w:color="53548A"/>
        <w:bottom w:val="single" w:sz="8" w:space="0" w:color="5354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/>
          <w:left w:val="nil"/>
          <w:bottom w:val="single" w:sz="8" w:space="0" w:color="53548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/>
          <w:left w:val="nil"/>
          <w:bottom w:val="single" w:sz="8" w:space="0" w:color="53548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tblPr>
      <w:tblStyleRowBandSize w:val="1"/>
      <w:tblStyleColBandSize w:val="1"/>
      <w:tblInd w:w="0" w:type="dxa"/>
      <w:tblBorders>
        <w:top w:val="single" w:sz="8" w:space="0" w:color="53548A"/>
        <w:left w:val="single" w:sz="8" w:space="0" w:color="53548A"/>
        <w:bottom w:val="single" w:sz="8" w:space="0" w:color="53548A"/>
        <w:right w:val="single" w:sz="8" w:space="0" w:color="5354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354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  <w:tblStylePr w:type="band1Horz">
      <w:tblPr/>
      <w:tcPr>
        <w:tcBorders>
          <w:top w:val="single" w:sz="8" w:space="0" w:color="53548A"/>
          <w:left w:val="single" w:sz="8" w:space="0" w:color="53548A"/>
          <w:bottom w:val="single" w:sz="8" w:space="0" w:color="53548A"/>
          <w:right w:val="single" w:sz="8" w:space="0" w:color="53548A"/>
        </w:tcBorders>
      </w:tcPr>
    </w:tblStylePr>
  </w:style>
  <w:style w:type="paragraph" w:styleId="ListParagraph">
    <w:name w:val="List Paragraph"/>
    <w:basedOn w:val="Normal"/>
    <w:uiPriority w:val="34"/>
    <w:qFormat/>
    <w:rsid w:val="00E05F4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42EB0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42EB0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669A2"/>
    <w:rPr>
      <w:rFonts w:ascii="Arial" w:eastAsia="Times New Roman" w:hAnsi="Arial" w:cs="Arial"/>
      <w:b/>
      <w:bCs/>
      <w:color w:val="403152" w:themeColor="accent4" w:themeShade="8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B42EB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B32323"/>
    <w:rPr>
      <w:rFonts w:ascii="Trebuchet MS" w:eastAsia="Times New Roman" w:hAnsi="Trebuchet MS" w:cs="Times New Roman"/>
      <w:b/>
      <w:bCs/>
      <w:color w:val="53548A"/>
      <w:sz w:val="26"/>
      <w:szCs w:val="26"/>
    </w:rPr>
  </w:style>
  <w:style w:type="paragraph" w:customStyle="1" w:styleId="11E3E688A4464964B8CB7016D86E4AC1">
    <w:name w:val="11E3E688A4464964B8CB7016D86E4AC1"/>
    <w:rsid w:val="00AC5418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table" w:customStyle="1" w:styleId="MediumShading1-Accent11">
    <w:name w:val="Medium Shading 1 - Accent 11"/>
    <w:basedOn w:val="TableNormal"/>
    <w:uiPriority w:val="63"/>
    <w:rsid w:val="00CC3E07"/>
    <w:tblPr>
      <w:tblStyleRowBandSize w:val="1"/>
      <w:tblStyleColBandSize w:val="1"/>
      <w:tblInd w:w="0" w:type="dxa"/>
      <w:tblBorders>
        <w:top w:val="single" w:sz="8" w:space="0" w:color="7778AD"/>
        <w:left w:val="single" w:sz="8" w:space="0" w:color="7778AD"/>
        <w:bottom w:val="single" w:sz="8" w:space="0" w:color="7778AD"/>
        <w:right w:val="single" w:sz="8" w:space="0" w:color="7778AD"/>
        <w:insideH w:val="single" w:sz="8" w:space="0" w:color="7778A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778AD"/>
          <w:left w:val="single" w:sz="8" w:space="0" w:color="7778AD"/>
          <w:bottom w:val="single" w:sz="8" w:space="0" w:color="7778AD"/>
          <w:right w:val="single" w:sz="8" w:space="0" w:color="7778AD"/>
          <w:insideH w:val="nil"/>
          <w:insideV w:val="nil"/>
        </w:tcBorders>
        <w:shd w:val="clear" w:color="auto" w:fill="53548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/>
          <w:left w:val="single" w:sz="8" w:space="0" w:color="7778AD"/>
          <w:bottom w:val="single" w:sz="8" w:space="0" w:color="7778AD"/>
          <w:right w:val="single" w:sz="8" w:space="0" w:color="7778A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rPr>
      <w:rFonts w:ascii="Trebuchet MS" w:eastAsia="Times New Roman" w:hAnsi="Trebuchet MS"/>
      <w:color w:val="000000"/>
    </w:rPr>
    <w:tblPr>
      <w:tblStyleRowBandSize w:val="1"/>
      <w:tblStyleColBandSize w:val="1"/>
      <w:tblInd w:w="0" w:type="dxa"/>
      <w:tblBorders>
        <w:top w:val="single" w:sz="8" w:space="0" w:color="53548A"/>
        <w:left w:val="single" w:sz="8" w:space="0" w:color="53548A"/>
        <w:bottom w:val="single" w:sz="8" w:space="0" w:color="53548A"/>
        <w:right w:val="single" w:sz="8" w:space="0" w:color="5354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3548A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3548A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7AC4"/>
    <w:pPr>
      <w:pBdr>
        <w:bottom w:val="single" w:sz="8" w:space="4" w:color="53548A"/>
      </w:pBdr>
      <w:spacing w:after="300" w:line="240" w:lineRule="auto"/>
      <w:contextualSpacing/>
    </w:pPr>
    <w:rPr>
      <w:rFonts w:ascii="Trebuchet MS" w:eastAsia="Times New Roman" w:hAnsi="Trebuchet MS"/>
      <w:color w:val="31324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7AC4"/>
    <w:rPr>
      <w:rFonts w:ascii="Trebuchet MS" w:eastAsia="Times New Roman" w:hAnsi="Trebuchet MS" w:cs="Times New Roman"/>
      <w:color w:val="313240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/>
      <w:u w:val="single"/>
    </w:rPr>
  </w:style>
  <w:style w:type="paragraph" w:styleId="NormalWeb">
    <w:name w:val="Normal (Web)"/>
    <w:basedOn w:val="Normal"/>
    <w:uiPriority w:val="99"/>
    <w:unhideWhenUsed/>
    <w:rsid w:val="007D044C"/>
    <w:pPr>
      <w:spacing w:before="80" w:after="8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7D044C"/>
    <w:rPr>
      <w:b/>
      <w:bCs/>
    </w:rPr>
  </w:style>
  <w:style w:type="paragraph" w:customStyle="1" w:styleId="Default">
    <w:name w:val="Default"/>
    <w:rsid w:val="00A426B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Indent">
    <w:name w:val="Normal Indent"/>
    <w:basedOn w:val="Normal"/>
    <w:rsid w:val="0035084B"/>
    <w:pPr>
      <w:widowControl w:val="0"/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val="en-GB"/>
    </w:rPr>
  </w:style>
  <w:style w:type="paragraph" w:styleId="Revision">
    <w:name w:val="Revision"/>
    <w:hidden/>
    <w:uiPriority w:val="99"/>
    <w:semiHidden/>
    <w:rsid w:val="00B91F23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9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69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4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339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193675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6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98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7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973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ervical.screenin@adct.gov.au" TargetMode="Externa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peter%20couvee\AppData\Local\Microsoft\Windows\Temporary%20Internet%20Files\Content.Outlook\DA7F5LD4\subm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herel.mail@moh.health.nsw.gov.au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hmrc.gov.au/_files_nhmrc/publications/attachments/wh39_screening_to_prevent_cervical_cancer_15061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FC1A79-33AB-4820-9159-75BAE7155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2364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15811</CharactersWithSpaces>
  <SharedDoc>false</SharedDoc>
  <HLinks>
    <vt:vector size="30" baseType="variant">
      <vt:variant>
        <vt:i4>7471201</vt:i4>
      </vt:variant>
      <vt:variant>
        <vt:i4>12</vt:i4>
      </vt:variant>
      <vt:variant>
        <vt:i4>0</vt:i4>
      </vt:variant>
      <vt:variant>
        <vt:i4>5</vt:i4>
      </vt:variant>
      <vt:variant>
        <vt:lpwstr>http://www.cherel.org.au/validation-studies</vt:lpwstr>
      </vt:variant>
      <vt:variant>
        <vt:lpwstr/>
      </vt:variant>
      <vt:variant>
        <vt:i4>8061047</vt:i4>
      </vt:variant>
      <vt:variant>
        <vt:i4>9</vt:i4>
      </vt:variant>
      <vt:variant>
        <vt:i4>0</vt:i4>
      </vt:variant>
      <vt:variant>
        <vt:i4>5</vt:i4>
      </vt:variant>
      <vt:variant>
        <vt:lpwstr>http://www.cherel.org.au/data-dictionaries</vt:lpwstr>
      </vt:variant>
      <vt:variant>
        <vt:lpwstr/>
      </vt:variant>
      <vt:variant>
        <vt:i4>1900593</vt:i4>
      </vt:variant>
      <vt:variant>
        <vt:i4>6</vt:i4>
      </vt:variant>
      <vt:variant>
        <vt:i4>0</vt:i4>
      </vt:variant>
      <vt:variant>
        <vt:i4>5</vt:i4>
      </vt:variant>
      <vt:variant>
        <vt:lpwstr>mailto:Cherel.mail@moh.health.nsw.gov.au</vt:lpwstr>
      </vt:variant>
      <vt:variant>
        <vt:lpwstr/>
      </vt:variant>
      <vt:variant>
        <vt:i4>721016</vt:i4>
      </vt:variant>
      <vt:variant>
        <vt:i4>3</vt:i4>
      </vt:variant>
      <vt:variant>
        <vt:i4>0</vt:i4>
      </vt:variant>
      <vt:variant>
        <vt:i4>5</vt:i4>
      </vt:variant>
      <vt:variant>
        <vt:lpwstr>mailto:ahmrc@ahmrc.org.au</vt:lpwstr>
      </vt:variant>
      <vt:variant>
        <vt:lpwstr/>
      </vt:variant>
      <vt:variant>
        <vt:i4>131149</vt:i4>
      </vt:variant>
      <vt:variant>
        <vt:i4>0</vt:i4>
      </vt:variant>
      <vt:variant>
        <vt:i4>0</vt:i4>
      </vt:variant>
      <vt:variant>
        <vt:i4>5</vt:i4>
      </vt:variant>
      <vt:variant>
        <vt:lpwstr>http://www.ahmrc.org.au/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Department Data Collection</dc:title>
  <dc:creator>htard</dc:creator>
  <cp:lastModifiedBy>leah newman</cp:lastModifiedBy>
  <cp:revision>16</cp:revision>
  <cp:lastPrinted>2017-07-03T00:48:00Z</cp:lastPrinted>
  <dcterms:created xsi:type="dcterms:W3CDTF">2017-07-04T00:16:00Z</dcterms:created>
  <dcterms:modified xsi:type="dcterms:W3CDTF">2017-07-10T04:46:00Z</dcterms:modified>
</cp:coreProperties>
</file>