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2124" w14:textId="77777777" w:rsidR="00A74414" w:rsidRDefault="00A938BA">
      <w:pPr>
        <w:pStyle w:val="Title"/>
      </w:pPr>
      <w:r>
        <w:t>ACT Cancer Registry (CR)</w:t>
      </w:r>
    </w:p>
    <w:p w14:paraId="24812125" w14:textId="77777777" w:rsidR="00A74414" w:rsidRDefault="00A938BA">
      <w:pPr>
        <w:pStyle w:val="Heading1"/>
      </w:pPr>
      <w:r>
        <w:t>Dataset Information</w:t>
      </w:r>
    </w:p>
    <w:tbl>
      <w:tblPr>
        <w:tblW w:w="0" w:type="auto"/>
        <w:jc w:val="center"/>
        <w:tblLayout w:type="fixed"/>
        <w:tblLook w:val="0420" w:firstRow="1" w:lastRow="0" w:firstColumn="0" w:lastColumn="0" w:noHBand="0" w:noVBand="1"/>
      </w:tblPr>
      <w:tblGrid>
        <w:gridCol w:w="1894"/>
        <w:gridCol w:w="1984"/>
        <w:gridCol w:w="9354"/>
      </w:tblGrid>
      <w:tr w:rsidR="00A74414" w14:paraId="24812129" w14:textId="7777777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24812126"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24812127" w14:textId="77777777" w:rsidR="00A74414" w:rsidRDefault="00A74414">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24812128"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A74414" w14:paraId="2481212D" w14:textId="77777777">
        <w:trPr>
          <w:jc w:val="center"/>
        </w:trPr>
        <w:tc>
          <w:tcPr>
            <w:tcW w:w="189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2A"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Dataset Description</w:t>
            </w:r>
          </w:p>
        </w:tc>
        <w:tc>
          <w:tcPr>
            <w:tcW w:w="198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2B" w14:textId="77777777" w:rsidR="00A74414" w:rsidRDefault="00A74414">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2C"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The ACT Cancer Registry (ACT CR) receives notifications of cancer in the ACT. It is managed by the ACT Government Health Directorate, and operates under the authority of the Public Health Act 1997. The Registry maintains a record of all cases of cancer diagnosed in ACT residents since 1994 except basal cell carcinomas and squamous cell carcinomas. </w:t>
            </w:r>
            <w:r>
              <w:rPr>
                <w:rFonts w:eastAsia="Arial" w:cs="Arial"/>
                <w:color w:val="000000"/>
                <w:sz w:val="16"/>
                <w:szCs w:val="16"/>
              </w:rPr>
              <w:br/>
              <w:t xml:space="preserve"> </w:t>
            </w:r>
            <w:r>
              <w:rPr>
                <w:rFonts w:eastAsia="Arial" w:cs="Arial"/>
                <w:color w:val="000000"/>
                <w:sz w:val="16"/>
                <w:szCs w:val="16"/>
              </w:rPr>
              <w:br/>
              <w:t xml:space="preserve">The ACT CR is a case-based registry in which all notifications relating to a particular case of cancer are linked to form a single record. A case of cancer is the occurrence of a malignant neoplasm in a particular person. Therefore a case of malignant melanoma in a particular person counts as one case. If the same person subsequently develops leukaemia, the leukaemia counts as a second case. </w:t>
            </w:r>
            <w:r>
              <w:rPr>
                <w:rFonts w:eastAsia="Arial" w:cs="Arial"/>
                <w:color w:val="000000"/>
                <w:sz w:val="16"/>
                <w:szCs w:val="16"/>
              </w:rPr>
              <w:br/>
              <w:t xml:space="preserve"> </w:t>
            </w:r>
            <w:r>
              <w:rPr>
                <w:rFonts w:eastAsia="Arial" w:cs="Arial"/>
                <w:color w:val="000000"/>
                <w:sz w:val="16"/>
                <w:szCs w:val="16"/>
              </w:rPr>
              <w:br/>
              <w:t>The ACT CR maintains records of people with cancer in ACT and reports on the impact of cancer in the community.</w:t>
            </w:r>
            <w:r>
              <w:rPr>
                <w:rFonts w:eastAsia="Arial" w:cs="Arial"/>
                <w:color w:val="000000"/>
                <w:sz w:val="16"/>
                <w:szCs w:val="16"/>
              </w:rPr>
              <w:t xml:space="preserve">  Since 1994, all public and private pathology laboratories, hospitals, radiation oncology clinics and nursing homes in the ACT have been required by law to notify the ACT CR of cancer in people or human tissues. </w:t>
            </w:r>
            <w:r>
              <w:rPr>
                <w:rFonts w:eastAsia="Arial" w:cs="Arial"/>
                <w:color w:val="000000"/>
                <w:sz w:val="16"/>
                <w:szCs w:val="16"/>
              </w:rPr>
              <w:br/>
              <w:t xml:space="preserve"> </w:t>
            </w:r>
            <w:r>
              <w:rPr>
                <w:rFonts w:eastAsia="Arial" w:cs="Arial"/>
                <w:color w:val="000000"/>
                <w:sz w:val="16"/>
                <w:szCs w:val="16"/>
              </w:rPr>
              <w:br/>
              <w:t>Information collected about patients with cancer includes: Name, address, date of birth and sex, Country of birth and aboriginal status, Clinical details about the cancer, Information about the notifying institution and doctor.</w:t>
            </w:r>
          </w:p>
        </w:tc>
      </w:tr>
      <w:tr w:rsidR="00A74414" w14:paraId="24812131"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2E"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 Quality Statement</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2F"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Duration of dataset</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30"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The CHeReL has incorporated ACT CR data from 1994 into the Master Linkage Key.  It is possible to obtain ACT CR data back to 1982, but the CHeReL and ACT CR data custodian recommend using data from 1994 for linkage studies.  From 1982 to 1994 the quality of the linkage is likely to be compromised by missing or estimated dates of birth, and incomplete pathology reports.  Researchers should therefore exercise caution if interpreting results including pre 1994 data.</w:t>
            </w:r>
          </w:p>
        </w:tc>
      </w:tr>
      <w:tr w:rsidR="00A74414" w14:paraId="24812135"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32" w14:textId="77777777" w:rsidR="00A74414" w:rsidRDefault="00A74414">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33"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Breast &amp; melanoma cancer</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34" w14:textId="63D21752"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Researchers wishing to access information on in-</w:t>
            </w:r>
            <w:r>
              <w:rPr>
                <w:rFonts w:eastAsia="Arial" w:cs="Arial"/>
                <w:color w:val="000000"/>
                <w:sz w:val="16"/>
                <w:szCs w:val="16"/>
              </w:rPr>
              <w:t>situ breast and melanoma cancer should specifically state this in their application.</w:t>
            </w:r>
          </w:p>
        </w:tc>
      </w:tr>
      <w:tr w:rsidR="00A74414" w14:paraId="24812139"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36" w14:textId="77777777" w:rsidR="00A74414" w:rsidRDefault="00A74414">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37"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Record structure</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38" w14:textId="54B896D5"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The ACT Cancer Registry (ACT CR) is a case,</w:t>
            </w:r>
            <w:r>
              <w:rPr>
                <w:rFonts w:eastAsia="Arial" w:cs="Arial"/>
                <w:color w:val="000000"/>
                <w:sz w:val="16"/>
                <w:szCs w:val="16"/>
              </w:rPr>
              <w:t xml:space="preserve"> rather tha</w:t>
            </w:r>
            <w:r>
              <w:rPr>
                <w:rFonts w:eastAsia="Arial" w:cs="Arial"/>
                <w:color w:val="000000"/>
                <w:sz w:val="16"/>
                <w:szCs w:val="16"/>
              </w:rPr>
              <w:t>n person-based registry.  If two cancers occur in a person, the ACT CR counts this as two cases.  The Registry records new cancer cases. Cancer recurrences are not captured as part of the ACT CR.  When linking ACT CR to treatment data (e.g. hospitalisations) note that treatment may occur many years after the original diagnosis and may be associated with a cancer recurrence rather than the original notification.</w:t>
            </w:r>
          </w:p>
        </w:tc>
      </w:tr>
      <w:tr w:rsidR="00A74414" w14:paraId="2481213D" w14:textId="77777777">
        <w:trPr>
          <w:jc w:val="center"/>
        </w:trPr>
        <w:tc>
          <w:tcPr>
            <w:tcW w:w="189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481213A"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Links &amp; Resources</w:t>
            </w:r>
          </w:p>
        </w:tc>
        <w:tc>
          <w:tcPr>
            <w:tcW w:w="198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481213B" w14:textId="77777777" w:rsidR="00A74414" w:rsidRDefault="00A74414">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481213C" w14:textId="77777777" w:rsidR="00A74414" w:rsidRDefault="00A938BA">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None provided.</w:t>
            </w:r>
          </w:p>
        </w:tc>
      </w:tr>
    </w:tbl>
    <w:p w14:paraId="2481213E" w14:textId="77777777" w:rsidR="00A74414" w:rsidRDefault="00A938BA">
      <w:r>
        <w:br w:type="page"/>
      </w:r>
    </w:p>
    <w:p w14:paraId="2481213F" w14:textId="77777777" w:rsidR="00A74414" w:rsidRDefault="00A938BA">
      <w:pPr>
        <w:pStyle w:val="Heading1"/>
      </w:pPr>
      <w:r>
        <w:lastRenderedPageBreak/>
        <w:t>Variable Information</w:t>
      </w:r>
    </w:p>
    <w:p w14:paraId="24812140" w14:textId="77777777" w:rsidR="00A74414" w:rsidRDefault="00A938BA">
      <w:pPr>
        <w:pStyle w:val="Heading2"/>
      </w:pPr>
      <w:r>
        <w:t>Category: Demography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A74414" w14:paraId="24812147"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41" w14:textId="77777777" w:rsidR="00A74414" w:rsidRDefault="00A74414">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42"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43"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44"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45"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46"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A74414" w14:paraId="2481214E"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48"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49"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CountryBirthCode</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4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Country of birth (SACC)</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4B"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4C"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4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15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4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0"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DeathAge</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Death Age (dthage)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3"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4"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15C"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7"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DiagnosisAge</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8"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 Age (diagage)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9"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A"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B"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16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E"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SexCode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5F"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0"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Male</w:t>
            </w:r>
          </w:p>
        </w:tc>
      </w:tr>
      <w:tr w:rsidR="00A74414" w14:paraId="2481216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4"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5"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8"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69"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Female</w:t>
            </w:r>
          </w:p>
        </w:tc>
      </w:tr>
      <w:tr w:rsidR="00A74414" w14:paraId="24812171"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6B"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6C"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6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6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6F"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70"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Person</w:t>
            </w:r>
          </w:p>
        </w:tc>
      </w:tr>
    </w:tbl>
    <w:p w14:paraId="24812172" w14:textId="77777777" w:rsidR="00A74414" w:rsidRDefault="00A938BA">
      <w:pPr>
        <w:pStyle w:val="Heading2"/>
      </w:pPr>
      <w:r>
        <w:t>Category: Dates &amp; times (events)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A74414" w14:paraId="24812179"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73" w14:textId="77777777" w:rsidR="00A74414" w:rsidRDefault="00A74414">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74"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75"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76"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77"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78"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A74414" w14:paraId="24812180"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7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7B"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DeathDate</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7C"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Death (dthdte)</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7D"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7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7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187"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8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8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DiagnosisDate</w:t>
            </w:r>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8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Diagnosis (diagdte)</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84"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85"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18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18A"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4812188" w14:textId="77777777" w:rsidR="00A74414" w:rsidRDefault="00A938BA">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4812189" w14:textId="77777777" w:rsidR="00A74414" w:rsidRDefault="00A938BA">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2481218B" w14:textId="77777777" w:rsidR="00A74414" w:rsidRDefault="00A938BA">
      <w:pPr>
        <w:pStyle w:val="Heading2"/>
      </w:pPr>
      <w:r>
        <w:t>Category: Presentation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A74414" w14:paraId="24812192"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8C" w14:textId="77777777" w:rsidR="00A74414" w:rsidRDefault="00A74414">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8D"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8E"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8F"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90"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191"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A74414" w14:paraId="24812199"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3"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4"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DeathICDO3TopoCode4</w:t>
            </w:r>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5"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ICD-O-3 topographical code (4 characters) of cancer which caused death (cod)</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6"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7"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0006</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8"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Non-cancer death</w:t>
            </w:r>
          </w:p>
        </w:tc>
      </w:tr>
      <w:tr w:rsidR="00A74414" w14:paraId="248121A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A"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B"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C"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E"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0007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9F"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A74414" w14:paraId="248121A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1"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DiagnosisBasisCode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Method of diagnosis (basis)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4"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5"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6"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Death certificate only</w:t>
            </w:r>
          </w:p>
        </w:tc>
      </w:tr>
      <w:tr w:rsidR="00A74414" w14:paraId="248121A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8"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9"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A"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B"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C"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D"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Clinical</w:t>
            </w:r>
          </w:p>
        </w:tc>
      </w:tr>
      <w:tr w:rsidR="00A74414" w14:paraId="248121B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A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0"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1"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2"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4"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Cytology</w:t>
            </w:r>
          </w:p>
        </w:tc>
      </w:tr>
      <w:tr w:rsidR="00A74414" w14:paraId="248121B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8"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9"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B"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Histology performed</w:t>
            </w:r>
          </w:p>
        </w:tc>
      </w:tr>
      <w:tr w:rsidR="00A74414" w14:paraId="248121C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B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0"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A74414" w14:paraId="248121C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4"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5"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8"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9"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Histopathology sighted at NSWCR</w:t>
            </w:r>
          </w:p>
        </w:tc>
      </w:tr>
      <w:tr w:rsidR="00A74414" w14:paraId="248121D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B"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C"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DiagnosisICDO3MorphCode5</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D"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ICD-O-3 morphological code (5 characters) of diagnosed cancer (morph)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E"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C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0"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1D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2"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DiagnosisICDO3TopoCode4</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4"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ICD-O-3 topographical code (4 characters) of diagnosed cancer (topo)</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5"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1D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9"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PrimarySiteCount</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B"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Number of primary sites (primsite)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C"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D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1E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0"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ThicknessSize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Breslow thickness of melanoma / Size of breast cancer (thick)</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4"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5"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Size not recorded due to neoadjuvant therapy (breast cancer only)</w:t>
            </w:r>
          </w:p>
        </w:tc>
      </w:tr>
      <w:tr w:rsidR="00A74414" w14:paraId="248121E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8"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9"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A"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B"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C"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Micro-invasion</w:t>
            </w:r>
          </w:p>
        </w:tc>
      </w:tr>
      <w:tr w:rsidR="00A74414" w14:paraId="248121F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E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0"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1"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Size &lt; 0.1 mm</w:t>
            </w:r>
          </w:p>
        </w:tc>
      </w:tr>
      <w:tr w:rsidR="00A74414" w14:paraId="248121F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5"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8"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9"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Size described as small</w:t>
            </w:r>
          </w:p>
        </w:tc>
      </w:tr>
      <w:tr w:rsidR="00A74414" w14:paraId="2481220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C"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1F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00"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0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Size described as big</w:t>
            </w:r>
          </w:p>
        </w:tc>
      </w:tr>
      <w:tr w:rsidR="00A74414" w14:paraId="24812209"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03"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04"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05"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0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07"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08"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bl>
    <w:p w14:paraId="2481220A" w14:textId="77777777" w:rsidR="00A74414" w:rsidRDefault="00A938BA">
      <w:pPr>
        <w:pStyle w:val="Heading2"/>
      </w:pPr>
      <w:r>
        <w:t>Category: Geography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A74414" w14:paraId="24812211"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20B" w14:textId="77777777" w:rsidR="00A74414" w:rsidRDefault="00A74414">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20C"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20D"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20E"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20F"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4812210" w14:textId="77777777" w:rsidR="00A74414" w:rsidRDefault="00A938BA">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A74414" w14:paraId="24812218"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DiagnosisPostcode</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4"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 Postcode (postcode)</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5"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21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9"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GCDiagnosisSA2Code2011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B"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Statistical Area Level 2 code at time of diagnosis (using ASGS 2011 standard). Sourced from geocoding (rolled up from mesh block)</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C"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1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22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0"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GCDiagnosisSA2Code2016</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statistical area level 2 code at time of diagnosis (using ASGS 2016 standard). Sourced from geocoding (rolled up from mesh block)</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4"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5"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22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7"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8"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GCDiagnosisSLACode2006</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9"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Diagnosis Statistical Local Area code 2006 (ssla)</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B"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C"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r>
      <w:tr w:rsidR="00A74414" w14:paraId="2481223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2F"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StateID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0"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State of Residence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2"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New South Wales</w:t>
            </w:r>
          </w:p>
        </w:tc>
      </w:tr>
      <w:tr w:rsidR="00A74414" w14:paraId="2481223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5"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8"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9"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Victoria</w:t>
            </w:r>
          </w:p>
        </w:tc>
      </w:tr>
      <w:tr w:rsidR="00A74414" w14:paraId="248122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C"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E"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3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0"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1"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Queensland</w:t>
            </w:r>
          </w:p>
        </w:tc>
      </w:tr>
      <w:tr w:rsidR="00A74414" w14:paraId="2481224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3"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4"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5"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7"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8"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South Australia</w:t>
            </w:r>
          </w:p>
        </w:tc>
      </w:tr>
      <w:tr w:rsidR="00A74414" w14:paraId="2481225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A"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B"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C"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D"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E"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4F"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Western Australia</w:t>
            </w:r>
          </w:p>
        </w:tc>
      </w:tr>
      <w:tr w:rsidR="00A74414" w14:paraId="248122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1"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2"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3"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4"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5"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6"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Tasmania</w:t>
            </w:r>
          </w:p>
        </w:tc>
      </w:tr>
      <w:tr w:rsidR="00A74414" w14:paraId="2481225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8"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9"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A"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B"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C"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D"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Northern Territory</w:t>
            </w:r>
          </w:p>
        </w:tc>
      </w:tr>
      <w:tr w:rsidR="00A74414" w14:paraId="2481226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5F"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60"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61"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62"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63"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4812264"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Australian Capital Territory</w:t>
            </w:r>
          </w:p>
        </w:tc>
      </w:tr>
      <w:tr w:rsidR="00A74414" w14:paraId="2481226C"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66"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67"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68"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69" w14:textId="77777777" w:rsidR="00A74414" w:rsidRDefault="00A74414">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6A"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481226B" w14:textId="77777777" w:rsidR="00A74414" w:rsidRDefault="00A938BA">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Territories</w:t>
            </w:r>
          </w:p>
        </w:tc>
      </w:tr>
      <w:tr w:rsidR="00A74414" w14:paraId="2481226F"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481226D" w14:textId="77777777" w:rsidR="00A74414" w:rsidRDefault="00A938BA">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481226E" w14:textId="77777777" w:rsidR="00A74414" w:rsidRDefault="00A938BA">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24812270" w14:textId="77777777" w:rsidR="00A938BA" w:rsidRPr="00B067FD" w:rsidRDefault="00A938BA">
      <w:pPr>
        <w:rPr>
          <w:rFonts w:eastAsiaTheme="majorEastAsia" w:cs="Arial"/>
          <w:b/>
          <w:bCs/>
          <w:color w:val="002677" w:themeColor="accent1"/>
        </w:rPr>
      </w:pPr>
      <w:r w:rsidRPr="00B067FD">
        <w:br w:type="page"/>
      </w:r>
    </w:p>
    <w:p w14:paraId="24812271" w14:textId="77777777" w:rsidR="00A938BA" w:rsidRPr="00B067FD" w:rsidRDefault="00A938BA" w:rsidP="00FE3396">
      <w:pPr>
        <w:pStyle w:val="Heading1"/>
      </w:pPr>
      <w:r w:rsidRPr="00B067FD">
        <w:lastRenderedPageBreak/>
        <w:t>General Enquiries</w:t>
      </w:r>
    </w:p>
    <w:p w14:paraId="24812272" w14:textId="77777777" w:rsidR="00A938BA" w:rsidRPr="00B067FD" w:rsidRDefault="00A938BA" w:rsidP="00F84456">
      <w:pPr>
        <w:pStyle w:val="Compact"/>
        <w:rPr>
          <w:b/>
          <w:bCs/>
          <w:sz w:val="18"/>
          <w:szCs w:val="18"/>
        </w:rPr>
      </w:pPr>
      <w:r w:rsidRPr="00B067FD">
        <w:rPr>
          <w:b/>
          <w:bCs/>
          <w:sz w:val="18"/>
          <w:szCs w:val="18"/>
        </w:rPr>
        <w:t xml:space="preserve">Population Health Informatics </w:t>
      </w:r>
    </w:p>
    <w:p w14:paraId="24812273" w14:textId="77777777" w:rsidR="00A938BA" w:rsidRPr="00B067FD" w:rsidRDefault="00A938BA" w:rsidP="00F84456">
      <w:pPr>
        <w:pStyle w:val="Compact"/>
        <w:rPr>
          <w:sz w:val="18"/>
          <w:szCs w:val="18"/>
        </w:rPr>
      </w:pPr>
      <w:r w:rsidRPr="00B067FD">
        <w:rPr>
          <w:sz w:val="18"/>
          <w:szCs w:val="18"/>
        </w:rPr>
        <w:t>Epidemiology Section</w:t>
      </w:r>
    </w:p>
    <w:p w14:paraId="24812274" w14:textId="77777777" w:rsidR="00A938BA" w:rsidRPr="00B067FD" w:rsidRDefault="00A938BA" w:rsidP="00F84456">
      <w:pPr>
        <w:pStyle w:val="Compact"/>
        <w:rPr>
          <w:sz w:val="18"/>
          <w:szCs w:val="18"/>
        </w:rPr>
      </w:pPr>
      <w:r w:rsidRPr="00B067FD">
        <w:rPr>
          <w:sz w:val="18"/>
          <w:szCs w:val="18"/>
        </w:rPr>
        <w:t>Data Analytics Branch</w:t>
      </w:r>
    </w:p>
    <w:p w14:paraId="24812275" w14:textId="77777777" w:rsidR="00A938BA" w:rsidRPr="00B067FD" w:rsidRDefault="00A938BA" w:rsidP="00F84456">
      <w:pPr>
        <w:pStyle w:val="Compact"/>
        <w:rPr>
          <w:sz w:val="18"/>
          <w:szCs w:val="18"/>
        </w:rPr>
      </w:pPr>
      <w:r w:rsidRPr="00B067FD">
        <w:rPr>
          <w:sz w:val="18"/>
          <w:szCs w:val="18"/>
        </w:rPr>
        <w:t>ACT Health Directorate</w:t>
      </w:r>
    </w:p>
    <w:p w14:paraId="24812276" w14:textId="77777777" w:rsidR="00A938BA" w:rsidRPr="00B067FD" w:rsidRDefault="00A938BA"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24812279" w14:textId="77777777" w:rsidTr="006A2B46">
        <w:tc>
          <w:tcPr>
            <w:tcW w:w="1985" w:type="dxa"/>
            <w:shd w:val="clear" w:color="auto" w:fill="auto"/>
          </w:tcPr>
          <w:p w14:paraId="24812277" w14:textId="77777777" w:rsidR="00A938BA" w:rsidRPr="00B067FD" w:rsidRDefault="00A938BA" w:rsidP="00361F22">
            <w:pPr>
              <w:pStyle w:val="Compact"/>
              <w:rPr>
                <w:sz w:val="18"/>
                <w:szCs w:val="18"/>
              </w:rPr>
            </w:pPr>
            <w:r w:rsidRPr="00B067FD">
              <w:rPr>
                <w:b/>
                <w:bCs/>
                <w:sz w:val="18"/>
                <w:szCs w:val="18"/>
              </w:rPr>
              <w:t xml:space="preserve">Email: </w:t>
            </w:r>
          </w:p>
        </w:tc>
        <w:tc>
          <w:tcPr>
            <w:tcW w:w="11247" w:type="dxa"/>
            <w:shd w:val="clear" w:color="auto" w:fill="auto"/>
          </w:tcPr>
          <w:p w14:paraId="24812278" w14:textId="77777777" w:rsidR="00A938BA" w:rsidRPr="00B067FD" w:rsidRDefault="00A938BA"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2481227C" w14:textId="77777777" w:rsidTr="006A2B46">
        <w:tc>
          <w:tcPr>
            <w:tcW w:w="1985" w:type="dxa"/>
            <w:shd w:val="clear" w:color="auto" w:fill="auto"/>
          </w:tcPr>
          <w:p w14:paraId="2481227A" w14:textId="77777777" w:rsidR="00A938BA" w:rsidRPr="00B067FD" w:rsidRDefault="00A938BA" w:rsidP="00361F22">
            <w:pPr>
              <w:pStyle w:val="Compact"/>
              <w:rPr>
                <w:sz w:val="18"/>
                <w:szCs w:val="18"/>
              </w:rPr>
            </w:pPr>
            <w:r w:rsidRPr="00B067FD">
              <w:rPr>
                <w:b/>
                <w:bCs/>
                <w:sz w:val="18"/>
                <w:szCs w:val="18"/>
              </w:rPr>
              <w:t xml:space="preserve">Linkage request </w:t>
            </w:r>
            <w:r w:rsidRPr="00B067FD">
              <w:rPr>
                <w:b/>
                <w:bCs/>
                <w:sz w:val="18"/>
                <w:szCs w:val="18"/>
              </w:rPr>
              <w:t>submi</w:t>
            </w:r>
            <w:r w:rsidRPr="00B067FD">
              <w:rPr>
                <w:b/>
                <w:bCs/>
                <w:sz w:val="18"/>
                <w:szCs w:val="18"/>
              </w:rPr>
              <w:t>ssion portal</w:t>
            </w:r>
            <w:r w:rsidRPr="00B067FD">
              <w:rPr>
                <w:b/>
                <w:bCs/>
                <w:sz w:val="18"/>
                <w:szCs w:val="18"/>
              </w:rPr>
              <w:t>:</w:t>
            </w:r>
            <w:r w:rsidRPr="00B067FD">
              <w:rPr>
                <w:sz w:val="18"/>
                <w:szCs w:val="18"/>
              </w:rPr>
              <w:t xml:space="preserve"> </w:t>
            </w:r>
          </w:p>
        </w:tc>
        <w:tc>
          <w:tcPr>
            <w:tcW w:w="11247" w:type="dxa"/>
            <w:shd w:val="clear" w:color="auto" w:fill="auto"/>
          </w:tcPr>
          <w:p w14:paraId="2481227B" w14:textId="77777777" w:rsidR="00A938BA" w:rsidRPr="00B067FD" w:rsidRDefault="00A938BA"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2481227D" w14:textId="77777777" w:rsidR="00A938BA" w:rsidRPr="00B067FD" w:rsidRDefault="00A938BA" w:rsidP="00A921FF">
      <w:pPr>
        <w:pStyle w:val="Heading1"/>
        <w:rPr>
          <w:rFonts w:ascii="Calibri" w:hAnsi="Calibri"/>
        </w:rPr>
      </w:pPr>
      <w:r w:rsidRPr="00B067FD">
        <w:t>Acknowledgment of Country</w:t>
      </w:r>
    </w:p>
    <w:p w14:paraId="2481227E"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2481227F"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0"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1"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2"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3"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4"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5"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6"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7"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p w14:paraId="24812288" w14:textId="77777777" w:rsidR="00A938BA" w:rsidRPr="00B067FD" w:rsidRDefault="00A938BA"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2481228A"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24812289" w14:textId="77777777" w:rsidR="00A938BA" w:rsidRPr="00B067FD" w:rsidRDefault="00A938BA">
            <w:pPr>
              <w:spacing w:before="60" w:after="60"/>
              <w:rPr>
                <w:rStyle w:val="AccessibilityLgtext"/>
                <w:color w:val="191919"/>
              </w:rPr>
            </w:pPr>
            <w:r w:rsidRPr="00B067FD">
              <w:rPr>
                <w:rStyle w:val="AccessibilityLgtext"/>
              </w:rPr>
              <w:t>Accessibility</w:t>
            </w:r>
          </w:p>
        </w:tc>
      </w:tr>
      <w:tr w:rsidR="002F57F0" w:rsidRPr="00B067FD" w14:paraId="2481228C" w14:textId="77777777" w:rsidTr="00B7238C">
        <w:tc>
          <w:tcPr>
            <w:tcW w:w="9115" w:type="dxa"/>
            <w:hideMark/>
          </w:tcPr>
          <w:p w14:paraId="2481228B" w14:textId="77777777" w:rsidR="00A938BA" w:rsidRPr="00B067FD" w:rsidRDefault="00A938BA">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2481228F" w14:textId="77777777" w:rsidTr="00B7238C">
        <w:tc>
          <w:tcPr>
            <w:tcW w:w="9115" w:type="dxa"/>
            <w:hideMark/>
          </w:tcPr>
          <w:p w14:paraId="2481228D" w14:textId="77777777" w:rsidR="00A938BA" w:rsidRPr="00B067FD" w:rsidRDefault="00A938BA">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24812295" wp14:editId="24812296">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2481228E" w14:textId="77777777" w:rsidR="00A938BA" w:rsidRPr="00B067FD" w:rsidRDefault="00A938BA">
            <w:pPr>
              <w:pStyle w:val="Accessibilitytext"/>
              <w:rPr>
                <w:lang w:val="en-AU"/>
              </w:rPr>
            </w:pPr>
            <w:r w:rsidRPr="00B067FD">
              <w:rPr>
                <w:rStyle w:val="AccessibilityLgtext"/>
                <w:lang w:val="en-AU"/>
              </w:rPr>
              <w:t xml:space="preserve">For </w:t>
            </w:r>
            <w:r w:rsidRPr="00B067FD">
              <w:rPr>
                <w:rStyle w:val="AccessibilityLgtext"/>
                <w:lang w:val="en-AU"/>
              </w:rPr>
              <w:t>further accessibility information, visit: www.health.act.gov.au/accessibility</w:t>
            </w:r>
          </w:p>
        </w:tc>
      </w:tr>
      <w:tr w:rsidR="002F57F0" w:rsidRPr="00B067FD" w14:paraId="24812291" w14:textId="77777777" w:rsidTr="00B7238C">
        <w:tc>
          <w:tcPr>
            <w:tcW w:w="9115" w:type="dxa"/>
            <w:hideMark/>
          </w:tcPr>
          <w:p w14:paraId="24812290" w14:textId="77777777" w:rsidR="00A938BA" w:rsidRPr="00B067FD" w:rsidRDefault="00A938BA">
            <w:pPr>
              <w:pStyle w:val="Accessibilitytext"/>
              <w:rPr>
                <w:lang w:val="en-AU"/>
              </w:rPr>
            </w:pPr>
            <w:r w:rsidRPr="00B067FD">
              <w:rPr>
                <w:lang w:val="en-AU"/>
              </w:rPr>
              <w:t xml:space="preserve">www.health.act.gov.au | Phone: 132281 </w:t>
            </w:r>
          </w:p>
        </w:tc>
      </w:tr>
      <w:tr w:rsidR="002F57F0" w:rsidRPr="00B067FD" w14:paraId="24812293" w14:textId="77777777" w:rsidTr="00B7238C">
        <w:tc>
          <w:tcPr>
            <w:tcW w:w="9115" w:type="dxa"/>
            <w:tcBorders>
              <w:top w:val="nil"/>
              <w:left w:val="nil"/>
              <w:bottom w:val="single" w:sz="4" w:space="0" w:color="282828"/>
              <w:right w:val="nil"/>
            </w:tcBorders>
            <w:hideMark/>
          </w:tcPr>
          <w:p w14:paraId="24812292" w14:textId="77777777" w:rsidR="00A938BA" w:rsidRPr="00B067FD" w:rsidRDefault="00A938BA">
            <w:pPr>
              <w:pStyle w:val="Accessibilitytext"/>
              <w:rPr>
                <w:lang w:val="en-AU"/>
              </w:rPr>
            </w:pPr>
            <w:r w:rsidRPr="00B067FD">
              <w:rPr>
                <w:lang w:val="en-AU"/>
              </w:rPr>
              <w:t>© Australian Capital Territory, Canberra</w:t>
            </w:r>
          </w:p>
        </w:tc>
      </w:tr>
    </w:tbl>
    <w:p w14:paraId="24812294" w14:textId="77777777" w:rsidR="00A938BA" w:rsidRPr="00B067FD" w:rsidRDefault="00A938BA" w:rsidP="00FE3396">
      <w:pPr>
        <w:pStyle w:val="Compact"/>
        <w:rPr>
          <w:sz w:val="20"/>
          <w:szCs w:val="20"/>
        </w:rPr>
      </w:pPr>
    </w:p>
    <w:sectPr w:rsidR="002F57F0" w:rsidRPr="00B067FD" w:rsidSect="00A22B36">
      <w:headerReference w:type="default" r:id="rId14"/>
      <w:footerReference w:type="default" r:id="rId15"/>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229D" w14:textId="77777777" w:rsidR="00A938BA" w:rsidRDefault="00A938BA">
      <w:pPr>
        <w:spacing w:after="0"/>
      </w:pPr>
      <w:r>
        <w:separator/>
      </w:r>
    </w:p>
  </w:endnote>
  <w:endnote w:type="continuationSeparator" w:id="0">
    <w:p w14:paraId="2481229F" w14:textId="77777777" w:rsidR="00A938BA" w:rsidRDefault="00A93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2298" w14:textId="29314FE0" w:rsidR="00A938BA" w:rsidRDefault="00A938BA">
    <w:pPr>
      <w:pStyle w:val="Footer"/>
    </w:pPr>
    <w:r>
      <w:t>ACT Cancer Registry (CR) - Version 3: 26/02/2025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2299" w14:textId="77777777" w:rsidR="00A938BA" w:rsidRDefault="00A938BA">
      <w:pPr>
        <w:spacing w:after="0"/>
      </w:pPr>
      <w:r>
        <w:separator/>
      </w:r>
    </w:p>
  </w:footnote>
  <w:footnote w:type="continuationSeparator" w:id="0">
    <w:p w14:paraId="2481229B" w14:textId="77777777" w:rsidR="00A938BA" w:rsidRDefault="00A938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2297" w14:textId="77777777" w:rsidR="00A938BA" w:rsidRDefault="00A938BA">
    <w:pPr>
      <w:pStyle w:val="Header"/>
    </w:pPr>
    <w:r>
      <w:rPr>
        <w:noProof/>
      </w:rPr>
      <w:drawing>
        <wp:anchor distT="0" distB="0" distL="114300" distR="114300" simplePos="0" relativeHeight="251656704" behindDoc="0" locked="0" layoutInCell="1" allowOverlap="1" wp14:anchorId="24812299" wp14:editId="2481229A">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2481229B" wp14:editId="2481229C">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1229F" w14:textId="77777777" w:rsidR="00A938BA" w:rsidRPr="00B844F9" w:rsidRDefault="00A938BA"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 xml:space="preserve">Data Analytics Branch: </w:t>
                          </w:r>
                          <w:r w:rsidRPr="00593854">
                            <w:rPr>
                              <w:rFonts w:ascii="Aptos" w:hAnsi="Aptos" w:cs="Arial"/>
                              <w:b/>
                              <w:bCs/>
                              <w:color w:val="FFFFFF" w:themeColor="background1"/>
                              <w:sz w:val="22"/>
                              <w:szCs w:val="22"/>
                            </w:rPr>
                            <w:t>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2481229D" wp14:editId="2481229E">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414"/>
    <w:rsid w:val="00825762"/>
    <w:rsid w:val="00A74414"/>
    <w:rsid w:val="00A93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2124"/>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customXml/itemProps2.xml><?xml version="1.0" encoding="utf-8"?>
<ds:datastoreItem xmlns:ds="http://schemas.openxmlformats.org/officeDocument/2006/customXml" ds:itemID="{8A22A57D-1DAC-4261-8545-89F7BEF9398B}"/>
</file>

<file path=customXml/itemProps3.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customXml/itemProps4.xml><?xml version="1.0" encoding="utf-8"?>
<ds:datastoreItem xmlns:ds="http://schemas.openxmlformats.org/officeDocument/2006/customXml" ds:itemID="{211A9B42-084B-4921-BE25-E632D6B3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7</cp:revision>
  <dcterms:created xsi:type="dcterms:W3CDTF">2024-07-14T02:53:00Z</dcterms:created>
  <dcterms:modified xsi:type="dcterms:W3CDTF">2025-08-11T23:51:00Z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3e3b11a9-3cf3-44a8-92e5-b12433917bcb</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2025-08-13T01:19:53Z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