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0762" w14:textId="77777777" w:rsidR="00C4570C" w:rsidRDefault="00ED5CF4">
      <w:pPr>
        <w:pStyle w:val="Title"/>
      </w:pPr>
      <w:r>
        <w:t>ACT Admitted Patient Care (APC)</w:t>
      </w:r>
    </w:p>
    <w:p w14:paraId="17B70763" w14:textId="77777777" w:rsidR="00C4570C" w:rsidRDefault="00ED5CF4">
      <w:pPr>
        <w:pStyle w:val="Heading1"/>
      </w:pPr>
      <w:r>
        <w:t>Dataset Information</w:t>
      </w:r>
    </w:p>
    <w:tbl>
      <w:tblPr>
        <w:tblpPr w:leftFromText="180" w:rightFromText="180" w:vertAnchor="text" w:tblpY="1"/>
        <w:tblOverlap w:val="never"/>
        <w:tblW w:w="0" w:type="auto"/>
        <w:tblLayout w:type="fixed"/>
        <w:tblLook w:val="0420" w:firstRow="1" w:lastRow="0" w:firstColumn="0" w:lastColumn="0" w:noHBand="0" w:noVBand="1"/>
      </w:tblPr>
      <w:tblGrid>
        <w:gridCol w:w="1894"/>
        <w:gridCol w:w="1984"/>
        <w:gridCol w:w="9354"/>
      </w:tblGrid>
      <w:tr w:rsidR="00C4570C" w14:paraId="17B70767" w14:textId="77777777" w:rsidTr="00A974BE">
        <w:trPr>
          <w:tblHeader/>
        </w:trPr>
        <w:tc>
          <w:tcPr>
            <w:tcW w:w="189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17B70764" w14:textId="77777777" w:rsidR="00C4570C" w:rsidRDefault="00ED5CF4" w:rsidP="00A974BE">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Aspect</w:t>
            </w:r>
          </w:p>
        </w:tc>
        <w:tc>
          <w:tcPr>
            <w:tcW w:w="198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17B70765" w14:textId="77777777" w:rsidR="00C4570C" w:rsidRDefault="00C4570C" w:rsidP="00A974BE">
            <w:pPr>
              <w:pBdr>
                <w:top w:val="none" w:sz="0" w:space="0" w:color="000000"/>
                <w:left w:val="none" w:sz="0" w:space="0" w:color="000000"/>
                <w:bottom w:val="none" w:sz="0" w:space="0" w:color="000000"/>
                <w:right w:val="none" w:sz="0" w:space="0" w:color="000000"/>
              </w:pBdr>
              <w:spacing w:before="160" w:after="160"/>
              <w:ind w:left="100" w:right="100"/>
            </w:pPr>
          </w:p>
        </w:tc>
        <w:tc>
          <w:tcPr>
            <w:tcW w:w="935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17B70766" w14:textId="77777777" w:rsidR="00C4570C" w:rsidRDefault="00ED5CF4" w:rsidP="00A974BE">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Comment</w:t>
            </w:r>
          </w:p>
        </w:tc>
      </w:tr>
      <w:tr w:rsidR="00C4570C" w14:paraId="17B7076B" w14:textId="77777777" w:rsidTr="00A974BE">
        <w:tc>
          <w:tcPr>
            <w:tcW w:w="189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68" w14:textId="77777777" w:rsidR="00C4570C" w:rsidRDefault="00ED5CF4" w:rsidP="00A974BE">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Dataset Description</w:t>
            </w:r>
          </w:p>
        </w:tc>
        <w:tc>
          <w:tcPr>
            <w:tcW w:w="198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69" w14:textId="77777777" w:rsidR="00C4570C" w:rsidRDefault="00C4570C" w:rsidP="00A974BE">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6A" w14:textId="2E403ACE" w:rsidR="00C4570C" w:rsidRDefault="00ED5CF4" w:rsidP="00A974BE">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The ACT Admitted Patient Care (APC) data records all inpatient separations (discharges, transfers and deaths) from all public hospitals in ACT.  </w:t>
            </w:r>
            <w:r>
              <w:rPr>
                <w:rFonts w:eastAsia="Arial" w:cs="Arial"/>
                <w:color w:val="000000"/>
                <w:sz w:val="16"/>
                <w:szCs w:val="16"/>
              </w:rPr>
              <w:br/>
              <w:t xml:space="preserve"> </w:t>
            </w:r>
            <w:r>
              <w:rPr>
                <w:rFonts w:eastAsia="Arial" w:cs="Arial"/>
                <w:color w:val="000000"/>
                <w:sz w:val="16"/>
                <w:szCs w:val="16"/>
              </w:rPr>
              <w:br/>
              <w:t xml:space="preserve">Public hospital APC data are recorded in terms of episodes of care (EOC).  An episode of care ends with the patient ending a period of stay in hospital (e.g. by discharge, transfer or death) or by becoming a different “type” of patient within the same period of stay. APC data are based on the date of separation (discharge) from hospital. </w:t>
            </w:r>
            <w:r>
              <w:rPr>
                <w:rFonts w:eastAsia="Arial" w:cs="Arial"/>
                <w:color w:val="000000"/>
                <w:sz w:val="16"/>
                <w:szCs w:val="16"/>
              </w:rPr>
              <w:br/>
              <w:t xml:space="preserve"> </w:t>
            </w:r>
            <w:r>
              <w:rPr>
                <w:rFonts w:eastAsia="Arial" w:cs="Arial"/>
                <w:color w:val="000000"/>
                <w:sz w:val="16"/>
                <w:szCs w:val="16"/>
              </w:rPr>
              <w:br/>
              <w:t>Data is only available for linkage from the 2004/05 financial year.  Linked data are available from all public hospitals in the ACT.  Private hospital data is not available for linkage.</w:t>
            </w:r>
          </w:p>
        </w:tc>
      </w:tr>
      <w:tr w:rsidR="00C4570C" w14:paraId="17B70777" w14:textId="77777777" w:rsidTr="00A974BE">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74" w14:textId="77777777" w:rsidR="00C4570C" w:rsidRDefault="00ED5CF4" w:rsidP="00A974BE">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Links &amp; Resources</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75" w14:textId="77777777" w:rsidR="00C4570C" w:rsidRDefault="00ED5CF4" w:rsidP="00A974BE">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SACC Country of birth codes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76" w14:textId="77777777" w:rsidR="00C4570C" w:rsidRDefault="00ED5CF4" w:rsidP="00A974BE">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https://www.abs.gov.au/statistics/classifications/standard-australian-classification-countries-sacc/latest-release</w:t>
            </w:r>
          </w:p>
        </w:tc>
      </w:tr>
      <w:tr w:rsidR="00C4570C" w14:paraId="17B7077B" w14:textId="77777777" w:rsidTr="00A974BE">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78" w14:textId="77777777" w:rsidR="00C4570C" w:rsidRDefault="00C4570C" w:rsidP="00A974B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79" w14:textId="77777777" w:rsidR="00C4570C" w:rsidRDefault="00ED5CF4" w:rsidP="00A974BE">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Statistical Area Level 2 codes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7A" w14:textId="77777777" w:rsidR="00C4570C" w:rsidRDefault="00ED5CF4" w:rsidP="00A974BE">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https://www.abs.gov.au/statistics/standards/australian-statistical-geography-standard-asgs-edition-3/jul2021-jun2026/main-structure-and-greater-capital-city-statistical-areas/statistical-area-level-2</w:t>
            </w:r>
          </w:p>
        </w:tc>
      </w:tr>
      <w:tr w:rsidR="00C4570C" w14:paraId="17B7077F" w14:textId="77777777" w:rsidTr="00A974BE">
        <w:tc>
          <w:tcPr>
            <w:tcW w:w="1894" w:type="dxa"/>
            <w:vMerge/>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7B7077C" w14:textId="77777777" w:rsidR="00C4570C" w:rsidRDefault="00C4570C" w:rsidP="00A974B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7B7077D" w14:textId="77777777" w:rsidR="00C4570C" w:rsidRDefault="00ED5CF4" w:rsidP="00A974BE">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SSLA codes</w:t>
            </w:r>
          </w:p>
        </w:tc>
        <w:tc>
          <w:tcPr>
            <w:tcW w:w="935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7B7077E" w14:textId="77777777" w:rsidR="00C4570C" w:rsidRDefault="00ED5CF4" w:rsidP="00A974BE">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https://www.abs.gov.au/AUSSTATS/abs@.nsf/Latestproducts/DEDA554E1B6BB78BCA25791F000EEA26</w:t>
            </w:r>
          </w:p>
        </w:tc>
      </w:tr>
    </w:tbl>
    <w:p w14:paraId="17B70780" w14:textId="2825A1E0" w:rsidR="00C4570C" w:rsidRDefault="00A974BE">
      <w:r>
        <w:br w:type="textWrapping" w:clear="all"/>
      </w:r>
      <w:r w:rsidR="00ED5CF4">
        <w:br w:type="page"/>
      </w:r>
    </w:p>
    <w:p w14:paraId="17B70781" w14:textId="77777777" w:rsidR="00C4570C" w:rsidRDefault="00ED5CF4">
      <w:pPr>
        <w:pStyle w:val="Heading1"/>
      </w:pPr>
      <w:r>
        <w:lastRenderedPageBreak/>
        <w:t>Variable Information</w:t>
      </w:r>
    </w:p>
    <w:p w14:paraId="17B70782" w14:textId="77777777" w:rsidR="00C4570C" w:rsidRDefault="00ED5CF4">
      <w:pPr>
        <w:pStyle w:val="Heading2"/>
      </w:pPr>
      <w:r>
        <w:t>Category: Demography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4570C" w14:paraId="17B70789"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783" w14:textId="77777777" w:rsidR="00C4570C" w:rsidRDefault="00C4570C">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784"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785"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786"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787"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788"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4570C" w14:paraId="17B70790"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8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F36C23"/>
                <w:sz w:val="20"/>
                <w:szCs w:val="20"/>
              </w:rPr>
              <w:t>◆</w:t>
            </w: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8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ATSIStatus</w:t>
            </w:r>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8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and Torres Strait Islander status</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8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8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8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but not Torres Strait Islander origin</w:t>
            </w:r>
          </w:p>
        </w:tc>
      </w:tr>
      <w:tr w:rsidR="00C4570C" w14:paraId="17B7079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Torres Strait Islander but not Aboriginal origin</w:t>
            </w:r>
          </w:p>
        </w:tc>
      </w:tr>
      <w:tr w:rsidR="00C4570C" w14:paraId="17B7079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Both Aboriginal and Torres Strait Islander origin</w:t>
            </w:r>
          </w:p>
        </w:tc>
      </w:tr>
      <w:tr w:rsidR="00C4570C" w14:paraId="17B707A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9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Neither Aboriginal nor Torres Strait Islander origin</w:t>
            </w:r>
          </w:p>
        </w:tc>
      </w:tr>
      <w:tr w:rsidR="00C4570C" w14:paraId="17B707A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C4570C" w14:paraId="17B707B3"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AgeDays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A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in days where age in years is 0</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7BA"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AgeYears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at admission in years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7C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CountryOfBirth</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Country of birth (SACC)</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B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7C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CountryOfBirthOld</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Country of birth (old coding)</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7C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DateOfBirth</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C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7D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F36C23"/>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IndigStatus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Indigenous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or Torres Strait Islander</w:t>
            </w:r>
          </w:p>
        </w:tc>
      </w:tr>
      <w:tr w:rsidR="00C4570C" w14:paraId="17B707D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C4570C" w14:paraId="17B707E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D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C4570C" w14:paraId="17B707E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InsuranceStatus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Insurance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 insurance</w:t>
            </w:r>
          </w:p>
        </w:tc>
      </w:tr>
      <w:tr w:rsidR="00C4570C" w14:paraId="17B707F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E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 hospital insurance</w:t>
            </w:r>
          </w:p>
        </w:tc>
      </w:tr>
      <w:tr w:rsidR="00C4570C" w14:paraId="17B707F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C4570C" w14:paraId="17B7080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MaritalStatus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Marital Status - MeTEOR definition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7F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Never married</w:t>
            </w:r>
          </w:p>
        </w:tc>
      </w:tr>
      <w:tr w:rsidR="00C4570C" w14:paraId="17B7080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Widowed</w:t>
            </w:r>
          </w:p>
        </w:tc>
      </w:tr>
      <w:tr w:rsidR="00C4570C" w14:paraId="17B7080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Divorced</w:t>
            </w:r>
          </w:p>
        </w:tc>
      </w:tr>
      <w:tr w:rsidR="00C4570C" w14:paraId="17B7081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0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Separated</w:t>
            </w:r>
          </w:p>
        </w:tc>
      </w:tr>
      <w:tr w:rsidR="00C4570C" w14:paraId="17B7081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Married (registered and de facto)</w:t>
            </w:r>
          </w:p>
        </w:tc>
      </w:tr>
      <w:tr w:rsidR="00C4570C" w14:paraId="17B7082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1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C4570C" w14:paraId="17B7082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MedicareStatus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Medicare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eligible</w:t>
            </w:r>
          </w:p>
        </w:tc>
      </w:tr>
      <w:tr w:rsidR="00C4570C" w14:paraId="17B7083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2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eligible</w:t>
            </w:r>
          </w:p>
        </w:tc>
      </w:tr>
      <w:tr w:rsidR="00C4570C" w14:paraId="17B7083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stated/unknown</w:t>
            </w:r>
          </w:p>
        </w:tc>
      </w:tr>
      <w:tr w:rsidR="00C4570C" w14:paraId="17B7083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MentalHealthLegalStatus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Mental health legal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3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involuntary patient</w:t>
            </w:r>
          </w:p>
        </w:tc>
      </w:tr>
      <w:tr w:rsidR="00C4570C" w14:paraId="17B7084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voluntary patient</w:t>
            </w:r>
          </w:p>
        </w:tc>
      </w:tr>
      <w:tr w:rsidR="00C4570C" w14:paraId="17B7084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reported/unknown</w:t>
            </w:r>
          </w:p>
        </w:tc>
      </w:tr>
      <w:tr w:rsidR="00C4570C" w14:paraId="17B7085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4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Male</w:t>
            </w:r>
          </w:p>
        </w:tc>
      </w:tr>
      <w:tr w:rsidR="00C4570C" w14:paraId="17B7085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Female</w:t>
            </w:r>
          </w:p>
        </w:tc>
      </w:tr>
      <w:tr w:rsidR="00C4570C" w14:paraId="17B7086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5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C4570C" w14:paraId="17B7086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C4570C" w14:paraId="17B7087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UsualAccommodation</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Usual accommodation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6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Private residence</w:t>
            </w:r>
          </w:p>
        </w:tc>
      </w:tr>
      <w:tr w:rsidR="00C4570C" w14:paraId="17B7087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Psychiatric hospital</w:t>
            </w:r>
          </w:p>
        </w:tc>
      </w:tr>
      <w:tr w:rsidR="00C4570C" w14:paraId="17B7087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Residential aged care service</w:t>
            </w:r>
          </w:p>
        </w:tc>
      </w:tr>
      <w:tr w:rsidR="00C4570C" w14:paraId="17B7088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7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Specialised alcohol/other drug treatment residence</w:t>
            </w:r>
          </w:p>
        </w:tc>
      </w:tr>
      <w:tr w:rsidR="00C4570C" w14:paraId="17B7088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Specialised mental health community-based residential support service</w:t>
            </w:r>
          </w:p>
        </w:tc>
      </w:tr>
      <w:tr w:rsidR="00C4570C" w14:paraId="17B7089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8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Domestic-scale supported living facility</w:t>
            </w:r>
          </w:p>
        </w:tc>
      </w:tr>
      <w:tr w:rsidR="00C4570C" w14:paraId="17B7089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Boarding/rooming house/hostel or hostel type accommodation</w:t>
            </w:r>
          </w:p>
        </w:tc>
      </w:tr>
      <w:tr w:rsidR="00C4570C" w14:paraId="17B708A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9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Homeless persons' shelter</w:t>
            </w:r>
          </w:p>
        </w:tc>
      </w:tr>
      <w:tr w:rsidR="00C4570C" w14:paraId="17B708A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Shelter/refuge (not including homeless persons' shelter)</w:t>
            </w:r>
          </w:p>
        </w:tc>
      </w:tr>
      <w:tr w:rsidR="00C4570C" w14:paraId="17B708A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A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supported accommodation</w:t>
            </w:r>
          </w:p>
        </w:tc>
      </w:tr>
      <w:tr w:rsidR="00C4570C" w14:paraId="17B708B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Prison/remand centre/youth training centre</w:t>
            </w:r>
          </w:p>
        </w:tc>
      </w:tr>
      <w:tr w:rsidR="00C4570C" w14:paraId="17B708B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Public place (homeless)</w:t>
            </w:r>
          </w:p>
        </w:tc>
      </w:tr>
      <w:tr w:rsidR="00C4570C" w14:paraId="17B708C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B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C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C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C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C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accommodation, not elsewhere classified</w:t>
            </w:r>
          </w:p>
        </w:tc>
      </w:tr>
      <w:tr w:rsidR="00C4570C" w14:paraId="17B708CB"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8C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8C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8C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8C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8C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14</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8C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Unknown/unable to determine</w:t>
            </w:r>
          </w:p>
        </w:tc>
      </w:tr>
      <w:tr w:rsidR="00C4570C" w14:paraId="17B708CE"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8CC"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8CD"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r w:rsidR="00C4570C" w14:paraId="17B708D1" w14:textId="77777777">
        <w:trPr>
          <w:jc w:val="center"/>
        </w:trPr>
        <w:tc>
          <w:tcPr>
            <w:tcW w:w="476" w:type="dxa"/>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8CF"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F36C23"/>
                <w:sz w:val="14"/>
                <w:szCs w:val="14"/>
              </w:rPr>
              <w:t>◆</w:t>
            </w:r>
          </w:p>
        </w:tc>
        <w:tc>
          <w:tcPr>
            <w:tcW w:w="12756" w:type="dxa"/>
            <w:gridSpan w:val="5"/>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8D0"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Availability may be subject to AHMRC approval</w:t>
            </w:r>
          </w:p>
        </w:tc>
      </w:tr>
    </w:tbl>
    <w:p w14:paraId="17B708D2" w14:textId="77777777" w:rsidR="00C4570C" w:rsidRDefault="00ED5CF4">
      <w:pPr>
        <w:pStyle w:val="Heading2"/>
      </w:pPr>
      <w:r>
        <w:t>Category: Dates &amp; times (events)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4570C" w14:paraId="17B708D9"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8D3" w14:textId="77777777" w:rsidR="00C4570C" w:rsidRDefault="00C4570C">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8D4"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8D5"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8D6"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8D7"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8D8"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4570C" w14:paraId="17B708E0"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D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D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AdmissionDate</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D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Admission date</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D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D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D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8E7"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AdmissionDateTime</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Admission datetime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8E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CalendarYear</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Calendar year</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8F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E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FinancialYearInt</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Financial year</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8F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IntendedLengthOfStay</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Intended length of stay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Intended same-day</w:t>
            </w:r>
          </w:p>
        </w:tc>
      </w:tr>
      <w:tr w:rsidR="00C4570C" w14:paraId="17B7090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8F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Intended overnight</w:t>
            </w:r>
          </w:p>
        </w:tc>
      </w:tr>
      <w:tr w:rsidR="00C4570C" w14:paraId="17B7090A"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LeaveDays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Leave days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91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LengthofStayDays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Length of stay in days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0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91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MechVentHours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Mechanical ventilation hours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91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NewbornQualifiedDays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Newborn qualified days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1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92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PsychiatricCareDays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Psychiatric care days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92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SeparationDate</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Separation date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2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934"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92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92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SeparationDateTime</w:t>
            </w:r>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93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Separation datetime</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93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93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93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937"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935"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936"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17B70938" w14:textId="77777777" w:rsidR="00C4570C" w:rsidRDefault="00ED5CF4">
      <w:pPr>
        <w:pStyle w:val="Heading2"/>
      </w:pPr>
      <w:r>
        <w:lastRenderedPageBreak/>
        <w:t>Category: Presentation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4570C" w14:paraId="17B7093F"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939" w14:textId="77777777" w:rsidR="00C4570C" w:rsidRDefault="00C4570C">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93A"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93B"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93C"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93D"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93E"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4570C" w14:paraId="17B70946"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AdmissionModeMeteorValue</w:t>
            </w:r>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Admission mode - national code</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admitted patient transferred from another hospital</w:t>
            </w:r>
          </w:p>
        </w:tc>
      </w:tr>
      <w:tr w:rsidR="00C4570C" w14:paraId="17B7094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statistical admission û episode type change</w:t>
            </w:r>
          </w:p>
        </w:tc>
      </w:tr>
      <w:tr w:rsidR="00C4570C" w14:paraId="17B7095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4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C4570C" w14:paraId="17B7095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C4570C" w14:paraId="17B7096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AdmissionUrgency</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Admission urgency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5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urgency status assigned - emergency</w:t>
            </w:r>
          </w:p>
        </w:tc>
      </w:tr>
      <w:tr w:rsidR="00C4570C" w14:paraId="17B7096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urgency status assigned - elective</w:t>
            </w:r>
          </w:p>
        </w:tc>
      </w:tr>
      <w:tr w:rsidR="00C4570C" w14:paraId="17B7097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6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urgency status not assigned</w:t>
            </w:r>
          </w:p>
        </w:tc>
      </w:tr>
      <w:tr w:rsidR="00C4570C" w14:paraId="17B7097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known/not reported</w:t>
            </w:r>
          </w:p>
        </w:tc>
      </w:tr>
      <w:tr w:rsidR="00C4570C" w14:paraId="17B7097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BabyWeight</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Weight of Baby on Admission</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98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7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CareType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Care type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Acute care</w:t>
            </w:r>
          </w:p>
        </w:tc>
      </w:tr>
      <w:tr w:rsidR="00C4570C" w14:paraId="17B7098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Rehabilitation care</w:t>
            </w:r>
          </w:p>
        </w:tc>
      </w:tr>
      <w:tr w:rsidR="00C4570C" w14:paraId="17B7099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8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Palliative care</w:t>
            </w:r>
          </w:p>
        </w:tc>
      </w:tr>
      <w:tr w:rsidR="00C4570C" w14:paraId="17B7099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Geriatric evaluation and management</w:t>
            </w:r>
          </w:p>
        </w:tc>
      </w:tr>
      <w:tr w:rsidR="00C4570C" w14:paraId="17B709A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9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Psychogeriatric care</w:t>
            </w:r>
          </w:p>
        </w:tc>
      </w:tr>
      <w:tr w:rsidR="00C4570C" w14:paraId="17B709A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Maintenance care</w:t>
            </w:r>
          </w:p>
        </w:tc>
      </w:tr>
      <w:tr w:rsidR="00C4570C" w14:paraId="17B709A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A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Newborn care</w:t>
            </w:r>
          </w:p>
        </w:tc>
      </w:tr>
      <w:tr w:rsidR="00C4570C" w14:paraId="17B709B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Organ procurementùposthumous</w:t>
            </w:r>
          </w:p>
        </w:tc>
      </w:tr>
      <w:tr w:rsidR="00C4570C" w14:paraId="17B709B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 boarder</w:t>
            </w:r>
          </w:p>
        </w:tc>
      </w:tr>
      <w:tr w:rsidR="00C4570C" w14:paraId="17B709C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B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Mental health care</w:t>
            </w:r>
          </w:p>
        </w:tc>
      </w:tr>
      <w:tr w:rsidR="00C4570C" w14:paraId="17B709C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admitted patient care</w:t>
            </w:r>
          </w:p>
        </w:tc>
      </w:tr>
      <w:tr w:rsidR="00C4570C" w14:paraId="17B709D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C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reported/unknown</w:t>
            </w:r>
          </w:p>
        </w:tc>
      </w:tr>
      <w:tr w:rsidR="00C4570C" w14:paraId="17B709D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30BDD1"/>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ContractedEstablishmentID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Establishment or hospital (contracted)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Marie Stopes International</w:t>
            </w:r>
          </w:p>
        </w:tc>
      </w:tr>
      <w:tr w:rsidR="00C4570C" w14:paraId="17B709E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D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Imaging</w:t>
            </w:r>
          </w:p>
        </w:tc>
      </w:tr>
      <w:tr w:rsidR="00C4570C" w14:paraId="17B709E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ICON Cancer Canberra</w:t>
            </w:r>
          </w:p>
        </w:tc>
      </w:tr>
      <w:tr w:rsidR="00C4570C" w14:paraId="17B709E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Queanbeyan Hospital</w:t>
            </w:r>
          </w:p>
        </w:tc>
      </w:tr>
      <w:tr w:rsidR="00C4570C" w14:paraId="17B709F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E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North Canberra Hospital</w:t>
            </w:r>
          </w:p>
        </w:tc>
      </w:tr>
      <w:tr w:rsidR="00C4570C" w14:paraId="17B709F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Hospital and Health Services</w:t>
            </w:r>
          </w:p>
        </w:tc>
      </w:tr>
      <w:tr w:rsidR="00C4570C" w14:paraId="17B70A0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9F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Health Care ACT</w:t>
            </w:r>
          </w:p>
        </w:tc>
      </w:tr>
      <w:tr w:rsidR="00C4570C" w14:paraId="17B70A0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Queen Elizabeth II Family Centre</w:t>
            </w:r>
          </w:p>
        </w:tc>
      </w:tr>
      <w:tr w:rsidR="00C4570C" w14:paraId="17B70A1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0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John James Memorial Hospital</w:t>
            </w:r>
          </w:p>
        </w:tc>
      </w:tr>
      <w:tr w:rsidR="00C4570C" w14:paraId="17B70A1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Private Hospital</w:t>
            </w:r>
          </w:p>
        </w:tc>
      </w:tr>
      <w:tr w:rsidR="00C4570C" w14:paraId="17B70A1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1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University of Canberra Hospital</w:t>
            </w:r>
          </w:p>
        </w:tc>
      </w:tr>
      <w:tr w:rsidR="00C4570C" w14:paraId="17B70A2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National Capital Private Hospital</w:t>
            </w:r>
          </w:p>
        </w:tc>
      </w:tr>
      <w:tr w:rsidR="00C4570C" w14:paraId="17B70A2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Private Hospital</w:t>
            </w:r>
          </w:p>
        </w:tc>
      </w:tr>
      <w:tr w:rsidR="00C4570C" w14:paraId="17B70A3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2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Eye Hospital</w:t>
            </w:r>
          </w:p>
        </w:tc>
      </w:tr>
      <w:tr w:rsidR="00C4570C" w14:paraId="17B70A3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Brindabella Endoscopy Centre</w:t>
            </w:r>
          </w:p>
        </w:tc>
      </w:tr>
      <w:tr w:rsidR="00C4570C" w14:paraId="17B70A4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3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Mugga Warra</w:t>
            </w:r>
          </w:p>
        </w:tc>
      </w:tr>
      <w:tr w:rsidR="00C4570C" w14:paraId="17B70A4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Lidia Perin Memorial Hospital</w:t>
            </w:r>
          </w:p>
        </w:tc>
      </w:tr>
      <w:tr w:rsidR="00C4570C" w14:paraId="17B70A5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4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Corinna Eye Chambers</w:t>
            </w:r>
          </w:p>
        </w:tc>
      </w:tr>
      <w:tr w:rsidR="00C4570C" w14:paraId="17B70A5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Surgicentre</w:t>
            </w:r>
          </w:p>
        </w:tc>
      </w:tr>
      <w:tr w:rsidR="00C4570C" w14:paraId="17B70A5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Barton Private Hospital</w:t>
            </w:r>
          </w:p>
        </w:tc>
      </w:tr>
      <w:tr w:rsidR="00C4570C" w14:paraId="17B70A6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5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Micsosurgery</w:t>
            </w:r>
          </w:p>
        </w:tc>
      </w:tr>
      <w:tr w:rsidR="00C4570C" w14:paraId="17B70A6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ContractedPatientStatus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Contracted patient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Inter-hospital contracted patient from public sector hospital (destination)</w:t>
            </w:r>
          </w:p>
        </w:tc>
      </w:tr>
      <w:tr w:rsidR="00C4570C" w14:paraId="17B70A7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6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Inter-hospital contracted patient from private sector hospital (destination)</w:t>
            </w:r>
          </w:p>
        </w:tc>
      </w:tr>
      <w:tr w:rsidR="00C4570C" w14:paraId="17B70A7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Inter-hospital contracted patient to public sector hospital (originating)</w:t>
            </w:r>
          </w:p>
        </w:tc>
      </w:tr>
      <w:tr w:rsidR="00C4570C" w14:paraId="17B70A8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7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Inter-hospital contracted patient to private sector hospital (originating)</w:t>
            </w:r>
          </w:p>
        </w:tc>
      </w:tr>
      <w:tr w:rsidR="00C4570C" w14:paraId="17B70A8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inter-hospital contracted</w:t>
            </w:r>
          </w:p>
        </w:tc>
      </w:tr>
      <w:tr w:rsidR="00C4570C" w14:paraId="17B70A8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8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specified</w:t>
            </w:r>
          </w:p>
        </w:tc>
      </w:tr>
      <w:tr w:rsidR="00C4570C" w14:paraId="17B70A9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ElectionStatus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Patient election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Public</w:t>
            </w:r>
          </w:p>
        </w:tc>
      </w:tr>
      <w:tr w:rsidR="00C4570C" w14:paraId="17B70A9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Private</w:t>
            </w:r>
          </w:p>
        </w:tc>
      </w:tr>
      <w:tr w:rsidR="00C4570C" w14:paraId="17B70AA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9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specified</w:t>
            </w:r>
          </w:p>
        </w:tc>
      </w:tr>
      <w:tr w:rsidR="00C4570C" w14:paraId="17B70AA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30BDD1"/>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EstablishmentID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Establishment or hospital (purchasing)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Marie Stopes International</w:t>
            </w:r>
          </w:p>
        </w:tc>
      </w:tr>
      <w:tr w:rsidR="00C4570C" w14:paraId="17B70AB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A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Imaging</w:t>
            </w:r>
          </w:p>
        </w:tc>
      </w:tr>
      <w:tr w:rsidR="00C4570C" w14:paraId="17B70AB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ICON Cancer Canberra</w:t>
            </w:r>
          </w:p>
        </w:tc>
      </w:tr>
      <w:tr w:rsidR="00C4570C" w14:paraId="17B70AC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B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Queanbeyan Hospital</w:t>
            </w:r>
          </w:p>
        </w:tc>
      </w:tr>
      <w:tr w:rsidR="00C4570C" w14:paraId="17B70AC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North Canberra Hospital</w:t>
            </w:r>
          </w:p>
        </w:tc>
      </w:tr>
      <w:tr w:rsidR="00C4570C" w14:paraId="17B70AC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Hospital and Health Services</w:t>
            </w:r>
          </w:p>
        </w:tc>
      </w:tr>
      <w:tr w:rsidR="00C4570C" w14:paraId="17B70AD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C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Health Care ACT</w:t>
            </w:r>
          </w:p>
        </w:tc>
      </w:tr>
      <w:tr w:rsidR="00C4570C" w14:paraId="17B70AD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Queen Elizabeth II Family Centre</w:t>
            </w:r>
          </w:p>
        </w:tc>
      </w:tr>
      <w:tr w:rsidR="00C4570C" w14:paraId="17B70AE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D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John James Memorial Hospital</w:t>
            </w:r>
          </w:p>
        </w:tc>
      </w:tr>
      <w:tr w:rsidR="00C4570C" w14:paraId="17B70AE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Private Hospital</w:t>
            </w:r>
          </w:p>
        </w:tc>
      </w:tr>
      <w:tr w:rsidR="00C4570C" w14:paraId="17B70AF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E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University of Canberra Hospital</w:t>
            </w:r>
          </w:p>
        </w:tc>
      </w:tr>
      <w:tr w:rsidR="00C4570C" w14:paraId="17B70AF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National Capital Private Hospital</w:t>
            </w:r>
          </w:p>
        </w:tc>
      </w:tr>
      <w:tr w:rsidR="00C4570C" w14:paraId="17B70AF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AF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Private Hospital</w:t>
            </w:r>
          </w:p>
        </w:tc>
      </w:tr>
      <w:tr w:rsidR="00C4570C" w14:paraId="17B70B0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Eye Hospital</w:t>
            </w:r>
          </w:p>
        </w:tc>
      </w:tr>
      <w:tr w:rsidR="00C4570C" w14:paraId="17B70B0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Brindabella Endoscopy Centre</w:t>
            </w:r>
          </w:p>
        </w:tc>
      </w:tr>
      <w:tr w:rsidR="00C4570C" w14:paraId="17B70B1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0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Mugga Warra</w:t>
            </w:r>
          </w:p>
        </w:tc>
      </w:tr>
      <w:tr w:rsidR="00C4570C" w14:paraId="17B70B1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Lidia Perin Memorial Hospital</w:t>
            </w:r>
          </w:p>
        </w:tc>
      </w:tr>
      <w:tr w:rsidR="00C4570C" w14:paraId="17B70B2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1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Corinna Eye Chambers</w:t>
            </w:r>
          </w:p>
        </w:tc>
      </w:tr>
      <w:tr w:rsidR="00C4570C" w14:paraId="17B70B2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Surgicentre</w:t>
            </w:r>
          </w:p>
        </w:tc>
      </w:tr>
      <w:tr w:rsidR="00C4570C" w14:paraId="17B70B3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2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Barton Private Hospital</w:t>
            </w:r>
          </w:p>
        </w:tc>
      </w:tr>
      <w:tr w:rsidR="00C4570C" w14:paraId="17B70B3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Micsosurgery</w:t>
            </w:r>
          </w:p>
        </w:tc>
      </w:tr>
      <w:tr w:rsidR="00C4570C" w14:paraId="17B70B3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FundingSource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Funding source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Health service budget (not covered elsewhere)</w:t>
            </w:r>
          </w:p>
        </w:tc>
      </w:tr>
      <w:tr w:rsidR="00C4570C" w14:paraId="17B70B4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3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Health service budget (due to eligibility for Reciprocal Health Care Agreement)</w:t>
            </w:r>
          </w:p>
        </w:tc>
      </w:tr>
      <w:tr w:rsidR="00C4570C" w14:paraId="17B70B4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Health service budget (no charge raised due to hospital decision)</w:t>
            </w:r>
          </w:p>
        </w:tc>
      </w:tr>
      <w:tr w:rsidR="00C4570C" w14:paraId="17B70B5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4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Department of Veterans' Affairs</w:t>
            </w:r>
          </w:p>
        </w:tc>
      </w:tr>
      <w:tr w:rsidR="00C4570C" w14:paraId="17B70B5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Department of Defence</w:t>
            </w:r>
          </w:p>
        </w:tc>
      </w:tr>
      <w:tr w:rsidR="00C4570C" w14:paraId="17B70B6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5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Correctional facility</w:t>
            </w:r>
          </w:p>
        </w:tc>
      </w:tr>
      <w:tr w:rsidR="00C4570C" w14:paraId="17B70B6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Medicare Benefits Scheme</w:t>
            </w:r>
          </w:p>
        </w:tc>
      </w:tr>
      <w:tr w:rsidR="00C4570C" w14:paraId="17B70B6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6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hospital or public authority (contracted care)</w:t>
            </w:r>
          </w:p>
        </w:tc>
      </w:tr>
      <w:tr w:rsidR="00C4570C" w14:paraId="17B70B7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Private health insurance</w:t>
            </w:r>
          </w:p>
        </w:tc>
      </w:tr>
      <w:tr w:rsidR="00C4570C" w14:paraId="17B70B7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Worker's compensation</w:t>
            </w:r>
          </w:p>
        </w:tc>
      </w:tr>
      <w:tr w:rsidR="00C4570C" w14:paraId="17B70B8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7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Motor vehicle third party personal claim</w:t>
            </w:r>
          </w:p>
        </w:tc>
      </w:tr>
      <w:tr w:rsidR="00C4570C" w14:paraId="17B70B8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compensation (e.g. public liability, common law, medical negligence)</w:t>
            </w:r>
          </w:p>
        </w:tc>
      </w:tr>
      <w:tr w:rsidR="00C4570C" w14:paraId="17B70B9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8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Self-funded</w:t>
            </w:r>
          </w:p>
        </w:tc>
      </w:tr>
      <w:tr w:rsidR="00C4570C" w14:paraId="17B70B9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funding source</w:t>
            </w:r>
          </w:p>
        </w:tc>
      </w:tr>
      <w:tr w:rsidR="00C4570C" w14:paraId="17B70BA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9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known</w:t>
            </w:r>
          </w:p>
        </w:tc>
      </w:tr>
      <w:tr w:rsidR="00C4570C" w14:paraId="17B70BA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FundingSourceOld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Funding source (old coding of charge class)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Public Patients</w:t>
            </w:r>
          </w:p>
        </w:tc>
      </w:tr>
      <w:tr w:rsidR="00C4570C" w14:paraId="17B70BA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Private Patients</w:t>
            </w:r>
          </w:p>
        </w:tc>
      </w:tr>
      <w:tr w:rsidR="00C4570C" w14:paraId="17B70BB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A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DVA</w:t>
            </w:r>
          </w:p>
        </w:tc>
      </w:tr>
      <w:tr w:rsidR="00C4570C" w14:paraId="17B70BB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Compensables</w:t>
            </w:r>
          </w:p>
        </w:tc>
      </w:tr>
      <w:tr w:rsidR="00C4570C" w14:paraId="17B70BC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B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Newborns</w:t>
            </w:r>
          </w:p>
        </w:tc>
      </w:tr>
      <w:tr w:rsidR="00C4570C" w14:paraId="17B70BC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Ineligibles</w:t>
            </w:r>
          </w:p>
        </w:tc>
      </w:tr>
      <w:tr w:rsidR="00C4570C" w14:paraId="17B70BD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C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Others/unknown</w:t>
            </w:r>
          </w:p>
        </w:tc>
      </w:tr>
      <w:tr w:rsidR="00C4570C" w14:paraId="17B70BD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HITHDays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 in the Home days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BD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30BDD1"/>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HospitalID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Establishment or hospital (service delivery)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D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Marie Stopes International</w:t>
            </w:r>
          </w:p>
        </w:tc>
      </w:tr>
      <w:tr w:rsidR="00C4570C" w14:paraId="17B70BE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Imaging</w:t>
            </w:r>
          </w:p>
        </w:tc>
      </w:tr>
      <w:tr w:rsidR="00C4570C" w14:paraId="17B70BE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ICON Cancer Canberra</w:t>
            </w:r>
          </w:p>
        </w:tc>
      </w:tr>
      <w:tr w:rsidR="00C4570C" w14:paraId="17B70BF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E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Queanbeyan Hospital</w:t>
            </w:r>
          </w:p>
        </w:tc>
      </w:tr>
      <w:tr w:rsidR="00C4570C" w14:paraId="17B70BF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North Canberra Hospital</w:t>
            </w:r>
          </w:p>
        </w:tc>
      </w:tr>
      <w:tr w:rsidR="00C4570C" w14:paraId="17B70C0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BF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Hospital and Health Services</w:t>
            </w:r>
          </w:p>
        </w:tc>
      </w:tr>
      <w:tr w:rsidR="00C4570C" w14:paraId="17B70C0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Health Care ACT</w:t>
            </w:r>
          </w:p>
        </w:tc>
      </w:tr>
      <w:tr w:rsidR="00C4570C" w14:paraId="17B70C1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0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Queen Elizabeth II Family Centre</w:t>
            </w:r>
          </w:p>
        </w:tc>
      </w:tr>
      <w:tr w:rsidR="00C4570C" w14:paraId="17B70C1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John James Memorial Hospital</w:t>
            </w:r>
          </w:p>
        </w:tc>
      </w:tr>
      <w:tr w:rsidR="00C4570C" w14:paraId="17B70C1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Private Hospital</w:t>
            </w:r>
          </w:p>
        </w:tc>
      </w:tr>
      <w:tr w:rsidR="00C4570C" w14:paraId="17B70C2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1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University of Canberra Hospital</w:t>
            </w:r>
          </w:p>
        </w:tc>
      </w:tr>
      <w:tr w:rsidR="00C4570C" w14:paraId="17B70C2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National Capital Private Hospital</w:t>
            </w:r>
          </w:p>
        </w:tc>
      </w:tr>
      <w:tr w:rsidR="00C4570C" w14:paraId="17B70C3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2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Private Hospital</w:t>
            </w:r>
          </w:p>
        </w:tc>
      </w:tr>
      <w:tr w:rsidR="00C4570C" w14:paraId="17B70C3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Eye Hospital</w:t>
            </w:r>
          </w:p>
        </w:tc>
      </w:tr>
      <w:tr w:rsidR="00C4570C" w14:paraId="17B70C4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3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Brindabella Endoscopy Centre</w:t>
            </w:r>
          </w:p>
        </w:tc>
      </w:tr>
      <w:tr w:rsidR="00C4570C" w14:paraId="17B70C4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Mugga Warra</w:t>
            </w:r>
          </w:p>
        </w:tc>
      </w:tr>
      <w:tr w:rsidR="00C4570C" w14:paraId="17B70C4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4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Lidia Perin Memorial Hospital</w:t>
            </w:r>
          </w:p>
        </w:tc>
      </w:tr>
      <w:tr w:rsidR="00C4570C" w14:paraId="17B70C5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Corinna Eye Chambers</w:t>
            </w:r>
          </w:p>
        </w:tc>
      </w:tr>
      <w:tr w:rsidR="00C4570C" w14:paraId="17B70C5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Surgicentre</w:t>
            </w:r>
          </w:p>
        </w:tc>
      </w:tr>
      <w:tr w:rsidR="00C4570C" w14:paraId="17B70C6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5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Barton Private Hospital</w:t>
            </w:r>
          </w:p>
        </w:tc>
      </w:tr>
      <w:tr w:rsidR="00C4570C" w14:paraId="17B70C6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Micsosurgery</w:t>
            </w:r>
          </w:p>
        </w:tc>
      </w:tr>
      <w:tr w:rsidR="00C4570C" w14:paraId="17B70C72"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ICULengthOfStay</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ICU length of stay in hours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6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C79"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ImpairmentType</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Primary impairment type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C8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PreviousSpecialisedTreatment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specialised treatment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7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 previous admission(s) or service contact(s) for the specialised treatment now being provided</w:t>
            </w:r>
          </w:p>
        </w:tc>
      </w:tr>
      <w:tr w:rsidR="00C4570C" w14:paraId="17B70C8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admission(s) but no service contact(s) for the specialised treatment now being provided</w:t>
            </w:r>
          </w:p>
        </w:tc>
      </w:tr>
      <w:tr w:rsidR="00C4570C" w14:paraId="17B70C8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service contact(s) but no admission(s) for the specialised treatment now being provided</w:t>
            </w:r>
          </w:p>
        </w:tc>
      </w:tr>
      <w:tr w:rsidR="00C4570C" w14:paraId="17B70C9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8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both previous admission(s) and service contact(s) for the specialised treatment now being provided</w:t>
            </w:r>
          </w:p>
        </w:tc>
      </w:tr>
      <w:tr w:rsidR="00C4570C" w14:paraId="17B70C9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Unknown/not stated</w:t>
            </w:r>
          </w:p>
        </w:tc>
      </w:tr>
      <w:tr w:rsidR="00C4570C" w14:paraId="17B70CA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SameDayFlag</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9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Same day flag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Admitted/discharged different days</w:t>
            </w:r>
          </w:p>
        </w:tc>
      </w:tr>
      <w:tr w:rsidR="00C4570C" w14:paraId="17B70CA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Admitted/discharged same day</w:t>
            </w:r>
          </w:p>
        </w:tc>
      </w:tr>
      <w:tr w:rsidR="00C4570C" w14:paraId="17B70CB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SeparationModeMeteor2000</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Separation mode - national code from 2000-01</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A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reported/unknown</w:t>
            </w:r>
          </w:p>
        </w:tc>
      </w:tr>
      <w:tr w:rsidR="00C4570C" w14:paraId="17B70CB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discharge/transfer to an(other) acute hospital</w:t>
            </w:r>
          </w:p>
        </w:tc>
      </w:tr>
      <w:tr w:rsidR="00C4570C" w14:paraId="17B70CB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B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discharge/transfer to a residential aged care service, unless this is a usual place of residence.</w:t>
            </w:r>
          </w:p>
        </w:tc>
      </w:tr>
      <w:tr w:rsidR="00C4570C" w14:paraId="17B70CC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discharge/transfer to an(other) psychiatric hospital</w:t>
            </w:r>
          </w:p>
        </w:tc>
      </w:tr>
      <w:tr w:rsidR="00C4570C" w14:paraId="17B70CC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discharge/transfer to other health care accommodation (includes mothercraft hospitals)</w:t>
            </w:r>
          </w:p>
        </w:tc>
      </w:tr>
      <w:tr w:rsidR="00C4570C" w14:paraId="17B70CD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C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statistical discharge - type change</w:t>
            </w:r>
          </w:p>
        </w:tc>
      </w:tr>
      <w:tr w:rsidR="00C4570C" w14:paraId="17B70CD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left against medical advice/discharge at own risk</w:t>
            </w:r>
          </w:p>
        </w:tc>
      </w:tr>
      <w:tr w:rsidR="00C4570C" w14:paraId="17B70CE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D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Statistical discharge from leave (imputed from 2020 specs)</w:t>
            </w:r>
          </w:p>
        </w:tc>
      </w:tr>
      <w:tr w:rsidR="00C4570C" w14:paraId="17B70CE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died</w:t>
            </w:r>
          </w:p>
        </w:tc>
      </w:tr>
      <w:tr w:rsidR="00C4570C" w14:paraId="17B70CF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E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(includes discharge to usual residence/own accommodation/welfare institution (includes prisons, hostels and group homes providing primarily welfare services))</w:t>
            </w:r>
          </w:p>
        </w:tc>
      </w:tr>
      <w:tr w:rsidR="00C4570C" w14:paraId="17B70CF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SeparationModeMeteor2020</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Separation mode - national code from 2020-21</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Discharge/transfer to (an)other acute hospital</w:t>
            </w:r>
          </w:p>
        </w:tc>
      </w:tr>
      <w:tr w:rsidR="00C4570C" w14:paraId="17B70CF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Discharge/transfer to a residential aged care service, which is not the usual place of residence</w:t>
            </w:r>
          </w:p>
        </w:tc>
      </w:tr>
      <w:tr w:rsidR="00C4570C" w14:paraId="17B70D0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CF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Discharge/transfer to a residential aged care service, which is the usual place of residence</w:t>
            </w:r>
          </w:p>
        </w:tc>
      </w:tr>
      <w:tr w:rsidR="00C4570C" w14:paraId="17B70D0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Discharge/transfer to (an)other psychiatric hospital</w:t>
            </w:r>
          </w:p>
        </w:tc>
      </w:tr>
      <w:tr w:rsidR="00C4570C" w14:paraId="17B70D1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0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Discharge/transfer to other health care accommodation (includes mothercraft hospitals)</w:t>
            </w:r>
          </w:p>
        </w:tc>
      </w:tr>
      <w:tr w:rsidR="00C4570C" w14:paraId="17B70D1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Statistical discharge - type change</w:t>
            </w:r>
          </w:p>
        </w:tc>
      </w:tr>
      <w:tr w:rsidR="00C4570C" w14:paraId="17B70D2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1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Left against medical advice/discharge at own risk</w:t>
            </w:r>
          </w:p>
        </w:tc>
      </w:tr>
      <w:tr w:rsidR="00C4570C" w14:paraId="17B70D2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Statistical discharge from leave</w:t>
            </w:r>
          </w:p>
        </w:tc>
      </w:tr>
      <w:tr w:rsidR="00C4570C" w14:paraId="17B70D2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2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Died</w:t>
            </w:r>
          </w:p>
        </w:tc>
      </w:tr>
      <w:tr w:rsidR="00C4570C" w14:paraId="17B70D36"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3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3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3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3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3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90</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3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(includes discharge to usual residence (excl residential aged care) own accommodation/welfare institution)</w:t>
            </w:r>
          </w:p>
        </w:tc>
      </w:tr>
      <w:tr w:rsidR="00C4570C" w14:paraId="17B70D39"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D37"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30BDD1"/>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D38"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Availability subject to supporting hypothesis</w:t>
            </w:r>
          </w:p>
        </w:tc>
      </w:tr>
    </w:tbl>
    <w:p w14:paraId="17B70D3A" w14:textId="77777777" w:rsidR="00C4570C" w:rsidRDefault="00ED5CF4">
      <w:pPr>
        <w:pStyle w:val="Heading2"/>
      </w:pPr>
      <w:r>
        <w:t>Category: Event summaries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4570C" w14:paraId="17B70D41"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3B" w14:textId="77777777" w:rsidR="00C4570C" w:rsidRDefault="00C4570C">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3C"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3D"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3E"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3F"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40"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4570C" w14:paraId="17B70D48"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CostWeight</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Costweights applied to DRG60x according to Public Round 14</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4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DRG</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 related groups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4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5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DRGandMDCVersion</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Version of Diagnosis related group and Major diagnostic category</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5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ECRAW</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ECRAW value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6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5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ECRAWandECRNDVersion</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Version of National and Gross Weighted Activty Unit measure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6B"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ECRND</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ECRND value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72"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GWAU</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Gross Weighted Activty Unit measure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6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79"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MDC</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Major diagnostic category</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80"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NWAU</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National Weighted Activty Unit measure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7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87"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NWAUandGWAUVersion</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Version of National and Gross Weighted Activty Unit measure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8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SNAP</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SNAP code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8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95"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8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9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SNAPVersion</w:t>
            </w:r>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9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SNAP version</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9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9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9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bl>
    <w:p w14:paraId="17B70D96" w14:textId="77777777" w:rsidR="00C4570C" w:rsidRDefault="00ED5CF4">
      <w:pPr>
        <w:pStyle w:val="Heading2"/>
      </w:pPr>
      <w:r>
        <w:t>Category: Diagnoses/Procedures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4570C" w14:paraId="17B70D9D"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97" w14:textId="77777777" w:rsidR="00C4570C" w:rsidRDefault="00C4570C">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98"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99"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9A"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9B"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9C"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4570C" w14:paraId="17B70DA4"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9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9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Diagnosis1</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Primary Diagnosis</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AB"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Diagnosis2-100</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Secondary diagnoses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B2"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ICD10AMEdition</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ICD-10-AM Edition for Diagnosis and Procedures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A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B9"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ICDVersion</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ICD Version</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C0"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OnsetArray</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Condition onset flags for diagnoses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B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C7"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C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C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Procedure1-50</w:t>
            </w:r>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C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Procedure 1-50</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C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C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DC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bl>
    <w:p w14:paraId="17B70DC8" w14:textId="77777777" w:rsidR="00C4570C" w:rsidRDefault="00ED5CF4">
      <w:pPr>
        <w:pStyle w:val="Heading2"/>
      </w:pPr>
      <w:r>
        <w:t>Category: Geography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4570C" w14:paraId="17B70DCF"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C9" w14:textId="77777777" w:rsidR="00C4570C" w:rsidRDefault="00C4570C">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CA"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CB"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CC"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CD"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7B70DCE" w14:textId="77777777" w:rsidR="00C4570C" w:rsidRDefault="00ED5CF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4570C" w14:paraId="17B70DD6"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SA2Code</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SA2Code of residence</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D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SSLA</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State and Statistical Local Area (NLi 2010 Code)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r>
      <w:tr w:rsidR="00C4570C" w14:paraId="17B70DE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D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UResState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State of residence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Overseas or not stated</w:t>
            </w:r>
          </w:p>
        </w:tc>
      </w:tr>
      <w:tr w:rsidR="00C4570C" w14:paraId="17B70DE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9"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New South Wales</w:t>
            </w:r>
          </w:p>
        </w:tc>
      </w:tr>
      <w:tr w:rsidR="00C4570C" w14:paraId="17B70DF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E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0"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Victoria</w:t>
            </w:r>
          </w:p>
        </w:tc>
      </w:tr>
      <w:tr w:rsidR="00C4570C" w14:paraId="17B70DF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5"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7"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8"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Queensland</w:t>
            </w:r>
          </w:p>
        </w:tc>
      </w:tr>
      <w:tr w:rsidR="00C4570C" w14:paraId="17B70E0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C"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E"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DFF"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South Australia</w:t>
            </w:r>
          </w:p>
        </w:tc>
      </w:tr>
      <w:tr w:rsidR="00C4570C" w14:paraId="17B70E0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3"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4"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5"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6"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Western Australia</w:t>
            </w:r>
          </w:p>
        </w:tc>
      </w:tr>
      <w:tr w:rsidR="00C4570C" w14:paraId="17B70E0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A"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B"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C"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D"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Tasmania</w:t>
            </w:r>
          </w:p>
        </w:tc>
      </w:tr>
      <w:tr w:rsidR="00C4570C" w14:paraId="17B70E1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0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1"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2"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3"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4"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Northern Territory</w:t>
            </w:r>
          </w:p>
        </w:tc>
      </w:tr>
      <w:tr w:rsidR="00C4570C" w14:paraId="17B70E1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6"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7"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8"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9"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A"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7B70E1B"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Australian Capital Territory</w:t>
            </w:r>
          </w:p>
        </w:tc>
      </w:tr>
      <w:tr w:rsidR="00C4570C" w14:paraId="17B70E23"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E1D"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E1E"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E1F"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E20" w14:textId="77777777" w:rsidR="00C4570C" w:rsidRDefault="00C4570C">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E21"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B70E22" w14:textId="77777777" w:rsidR="00C4570C" w:rsidRDefault="00ED5CF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Territories</w:t>
            </w:r>
          </w:p>
        </w:tc>
      </w:tr>
      <w:tr w:rsidR="00C4570C" w14:paraId="17B70E26"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E24"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B70E25" w14:textId="77777777" w:rsidR="00C4570C" w:rsidRDefault="00ED5CF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17B70E27" w14:textId="77777777" w:rsidR="00ED5CF4" w:rsidRPr="00B067FD" w:rsidRDefault="00ED5CF4">
      <w:pPr>
        <w:rPr>
          <w:rFonts w:eastAsiaTheme="majorEastAsia" w:cs="Arial"/>
          <w:b/>
          <w:bCs/>
          <w:color w:val="002677" w:themeColor="accent1"/>
        </w:rPr>
      </w:pPr>
      <w:r w:rsidRPr="00B067FD">
        <w:br w:type="page"/>
      </w:r>
    </w:p>
    <w:p w14:paraId="17B70E28" w14:textId="77777777" w:rsidR="00ED5CF4" w:rsidRPr="00B067FD" w:rsidRDefault="00ED5CF4" w:rsidP="00FE3396">
      <w:pPr>
        <w:pStyle w:val="Heading1"/>
      </w:pPr>
      <w:r w:rsidRPr="00B067FD">
        <w:lastRenderedPageBreak/>
        <w:t>General Enquiries</w:t>
      </w:r>
    </w:p>
    <w:p w14:paraId="17B70E29" w14:textId="77777777" w:rsidR="00ED5CF4" w:rsidRPr="00B067FD" w:rsidRDefault="00ED5CF4" w:rsidP="00F84456">
      <w:pPr>
        <w:pStyle w:val="Compact"/>
        <w:rPr>
          <w:b/>
          <w:bCs/>
          <w:sz w:val="18"/>
          <w:szCs w:val="18"/>
        </w:rPr>
      </w:pPr>
      <w:r w:rsidRPr="00B067FD">
        <w:rPr>
          <w:b/>
          <w:bCs/>
          <w:sz w:val="18"/>
          <w:szCs w:val="18"/>
        </w:rPr>
        <w:t xml:space="preserve">Population Health Informatics </w:t>
      </w:r>
    </w:p>
    <w:p w14:paraId="17B70E2A" w14:textId="77777777" w:rsidR="00ED5CF4" w:rsidRPr="00B067FD" w:rsidRDefault="00ED5CF4" w:rsidP="00F84456">
      <w:pPr>
        <w:pStyle w:val="Compact"/>
        <w:rPr>
          <w:sz w:val="18"/>
          <w:szCs w:val="18"/>
        </w:rPr>
      </w:pPr>
      <w:r w:rsidRPr="00B067FD">
        <w:rPr>
          <w:sz w:val="18"/>
          <w:szCs w:val="18"/>
        </w:rPr>
        <w:t>Epidemiology Section</w:t>
      </w:r>
    </w:p>
    <w:p w14:paraId="17B70E2B" w14:textId="77777777" w:rsidR="00ED5CF4" w:rsidRPr="00B067FD" w:rsidRDefault="00ED5CF4" w:rsidP="00F84456">
      <w:pPr>
        <w:pStyle w:val="Compact"/>
        <w:rPr>
          <w:sz w:val="18"/>
          <w:szCs w:val="18"/>
        </w:rPr>
      </w:pPr>
      <w:r w:rsidRPr="00B067FD">
        <w:rPr>
          <w:sz w:val="18"/>
          <w:szCs w:val="18"/>
        </w:rPr>
        <w:t>Data Analytics Branch</w:t>
      </w:r>
    </w:p>
    <w:p w14:paraId="17B70E2C" w14:textId="77777777" w:rsidR="00ED5CF4" w:rsidRPr="00B067FD" w:rsidRDefault="00ED5CF4" w:rsidP="00F84456">
      <w:pPr>
        <w:pStyle w:val="Compact"/>
        <w:rPr>
          <w:sz w:val="18"/>
          <w:szCs w:val="18"/>
        </w:rPr>
      </w:pPr>
      <w:r w:rsidRPr="00B067FD">
        <w:rPr>
          <w:sz w:val="18"/>
          <w:szCs w:val="18"/>
        </w:rPr>
        <w:t>ACT Health Directorate</w:t>
      </w:r>
    </w:p>
    <w:p w14:paraId="17B70E2D" w14:textId="77777777" w:rsidR="00ED5CF4" w:rsidRPr="00B067FD" w:rsidRDefault="00ED5CF4" w:rsidP="00F84456">
      <w:pPr>
        <w:pStyle w:val="Compact"/>
        <w:rPr>
          <w:sz w:val="18"/>
          <w:szCs w:val="18"/>
        </w:rPr>
      </w:pPr>
    </w:p>
    <w:tbl>
      <w:tblPr>
        <w:tblW w:w="0" w:type="auto"/>
        <w:tblCellMar>
          <w:left w:w="0" w:type="dxa"/>
          <w:right w:w="0" w:type="dxa"/>
        </w:tblCellMar>
        <w:tblLook w:val="0600" w:firstRow="0" w:lastRow="0" w:firstColumn="0" w:lastColumn="0" w:noHBand="1" w:noVBand="1"/>
      </w:tblPr>
      <w:tblGrid>
        <w:gridCol w:w="1985"/>
        <w:gridCol w:w="11247"/>
      </w:tblGrid>
      <w:tr w:rsidR="00FE3396" w:rsidRPr="00B067FD" w14:paraId="17B70E30" w14:textId="77777777" w:rsidTr="006A2B46">
        <w:tc>
          <w:tcPr>
            <w:tcW w:w="1985" w:type="dxa"/>
            <w:shd w:val="clear" w:color="auto" w:fill="auto"/>
          </w:tcPr>
          <w:p w14:paraId="17B70E2E" w14:textId="77777777" w:rsidR="00ED5CF4" w:rsidRPr="00B067FD" w:rsidRDefault="00ED5CF4" w:rsidP="00361F22">
            <w:pPr>
              <w:pStyle w:val="Compact"/>
              <w:rPr>
                <w:sz w:val="18"/>
                <w:szCs w:val="18"/>
              </w:rPr>
            </w:pPr>
            <w:r w:rsidRPr="00B067FD">
              <w:rPr>
                <w:b/>
                <w:bCs/>
                <w:sz w:val="18"/>
                <w:szCs w:val="18"/>
              </w:rPr>
              <w:t xml:space="preserve">Email: </w:t>
            </w:r>
          </w:p>
        </w:tc>
        <w:tc>
          <w:tcPr>
            <w:tcW w:w="11247" w:type="dxa"/>
            <w:shd w:val="clear" w:color="auto" w:fill="auto"/>
          </w:tcPr>
          <w:p w14:paraId="17B70E2F" w14:textId="77777777" w:rsidR="00ED5CF4" w:rsidRPr="00B067FD" w:rsidRDefault="00ED5CF4" w:rsidP="00361F22">
            <w:pPr>
              <w:pStyle w:val="Compact"/>
              <w:rPr>
                <w:b/>
                <w:bCs/>
                <w:sz w:val="18"/>
                <w:szCs w:val="18"/>
              </w:rPr>
            </w:pPr>
            <w:hyperlink r:id="rId11" w:history="1">
              <w:r w:rsidRPr="00B067FD">
                <w:rPr>
                  <w:rStyle w:val="Hyperlink"/>
                  <w:sz w:val="18"/>
                  <w:szCs w:val="18"/>
                </w:rPr>
                <w:t>healthinfo@act.gov.au</w:t>
              </w:r>
            </w:hyperlink>
          </w:p>
        </w:tc>
      </w:tr>
      <w:tr w:rsidR="00FE3396" w:rsidRPr="00B067FD" w14:paraId="17B70E33" w14:textId="77777777" w:rsidTr="006A2B46">
        <w:tc>
          <w:tcPr>
            <w:tcW w:w="1985" w:type="dxa"/>
            <w:shd w:val="clear" w:color="auto" w:fill="auto"/>
          </w:tcPr>
          <w:p w14:paraId="17B70E31" w14:textId="77777777" w:rsidR="00ED5CF4" w:rsidRPr="00B067FD" w:rsidRDefault="00ED5CF4" w:rsidP="00361F22">
            <w:pPr>
              <w:pStyle w:val="Compact"/>
              <w:rPr>
                <w:sz w:val="18"/>
                <w:szCs w:val="18"/>
              </w:rPr>
            </w:pPr>
            <w:r w:rsidRPr="00B067FD">
              <w:rPr>
                <w:b/>
                <w:bCs/>
                <w:sz w:val="18"/>
                <w:szCs w:val="18"/>
              </w:rPr>
              <w:t>Linkage request submission portal:</w:t>
            </w:r>
            <w:r w:rsidRPr="00B067FD">
              <w:rPr>
                <w:sz w:val="18"/>
                <w:szCs w:val="18"/>
              </w:rPr>
              <w:t xml:space="preserve"> </w:t>
            </w:r>
          </w:p>
        </w:tc>
        <w:tc>
          <w:tcPr>
            <w:tcW w:w="11247" w:type="dxa"/>
            <w:shd w:val="clear" w:color="auto" w:fill="auto"/>
          </w:tcPr>
          <w:p w14:paraId="17B70E32" w14:textId="77777777" w:rsidR="00ED5CF4" w:rsidRPr="00B067FD" w:rsidRDefault="00ED5CF4" w:rsidP="00361F22">
            <w:pPr>
              <w:pStyle w:val="Compact"/>
              <w:rPr>
                <w:b/>
                <w:bCs/>
                <w:sz w:val="18"/>
                <w:szCs w:val="18"/>
              </w:rPr>
            </w:pPr>
            <w:hyperlink r:id="rId12" w:history="1">
              <w:r w:rsidRPr="00B067FD">
                <w:rPr>
                  <w:rStyle w:val="Hyperlink"/>
                  <w:sz w:val="18"/>
                  <w:szCs w:val="18"/>
                </w:rPr>
                <w:t>https://act-health.atlassian.net/servicedesk/customer/portal/20</w:t>
              </w:r>
            </w:hyperlink>
          </w:p>
        </w:tc>
      </w:tr>
    </w:tbl>
    <w:p w14:paraId="17B70E34" w14:textId="77777777" w:rsidR="00ED5CF4" w:rsidRPr="00B067FD" w:rsidRDefault="00ED5CF4" w:rsidP="00A921FF">
      <w:pPr>
        <w:pStyle w:val="Heading1"/>
        <w:rPr>
          <w:rFonts w:ascii="Calibri" w:hAnsi="Calibri"/>
        </w:rPr>
      </w:pPr>
      <w:r w:rsidRPr="00B067FD">
        <w:t>Acknowledgment of Country</w:t>
      </w:r>
    </w:p>
    <w:p w14:paraId="17B70E35"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r w:rsidRPr="00B067FD">
        <w:rPr>
          <w:rFonts w:cs="Arial"/>
          <w:color w:val="323232"/>
          <w:sz w:val="18"/>
          <w:szCs w:val="18"/>
        </w:rPr>
        <w:t xml:space="preserve">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 </w:t>
      </w:r>
    </w:p>
    <w:p w14:paraId="17B70E36"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p w14:paraId="17B70E37"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p w14:paraId="17B70E38"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p w14:paraId="17B70E39"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p w14:paraId="17B70E3A"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p w14:paraId="17B70E3B"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p w14:paraId="17B70E3C"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p w14:paraId="17B70E3D"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p w14:paraId="17B70E3E"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p w14:paraId="17B70E3F" w14:textId="77777777" w:rsidR="00ED5CF4" w:rsidRPr="00B067FD" w:rsidRDefault="00ED5CF4" w:rsidP="002F57F0">
      <w:pPr>
        <w:suppressAutoHyphens/>
        <w:autoSpaceDE w:val="0"/>
        <w:autoSpaceDN w:val="0"/>
        <w:adjustRightInd w:val="0"/>
        <w:spacing w:after="60"/>
        <w:textAlignment w:val="center"/>
        <w:rPr>
          <w:rFonts w:cs="Arial"/>
          <w:color w:val="323232"/>
          <w:sz w:val="18"/>
          <w:szCs w:val="18"/>
        </w:rPr>
      </w:pPr>
    </w:p>
    <w:tbl>
      <w:tblPr>
        <w:tblStyle w:val="AccessibilityTable"/>
        <w:tblW w:w="5000" w:type="pct"/>
        <w:tblInd w:w="0" w:type="dxa"/>
        <w:tblLayout w:type="fixed"/>
        <w:tblCellMar>
          <w:top w:w="28" w:type="dxa"/>
          <w:bottom w:w="28" w:type="dxa"/>
        </w:tblCellMar>
        <w:tblLook w:val="04A0" w:firstRow="1" w:lastRow="0" w:firstColumn="1" w:lastColumn="0" w:noHBand="0" w:noVBand="1"/>
      </w:tblPr>
      <w:tblGrid>
        <w:gridCol w:w="13232"/>
      </w:tblGrid>
      <w:tr w:rsidR="002F57F0" w:rsidRPr="00B067FD" w14:paraId="17B70E41" w14:textId="77777777" w:rsidTr="00B7238C">
        <w:trPr>
          <w:cnfStyle w:val="100000000000" w:firstRow="1" w:lastRow="0" w:firstColumn="0" w:lastColumn="0" w:oddVBand="0" w:evenVBand="0" w:oddHBand="0" w:evenHBand="0" w:firstRowFirstColumn="0" w:firstRowLastColumn="0" w:lastRowFirstColumn="0" w:lastRowLastColumn="0"/>
          <w:trHeight w:val="308"/>
        </w:trPr>
        <w:tc>
          <w:tcPr>
            <w:tcW w:w="9115" w:type="dxa"/>
            <w:shd w:val="clear" w:color="auto" w:fill="D9D9D9" w:themeFill="background1" w:themeFillShade="D9"/>
            <w:hideMark/>
          </w:tcPr>
          <w:p w14:paraId="17B70E40" w14:textId="77777777" w:rsidR="00ED5CF4" w:rsidRPr="00B067FD" w:rsidRDefault="00ED5CF4">
            <w:pPr>
              <w:spacing w:before="60" w:after="60"/>
              <w:rPr>
                <w:rStyle w:val="AccessibilityLgtext"/>
                <w:color w:val="191919"/>
              </w:rPr>
            </w:pPr>
            <w:r w:rsidRPr="00B067FD">
              <w:rPr>
                <w:rStyle w:val="AccessibilityLgtext"/>
              </w:rPr>
              <w:t>Accessibility</w:t>
            </w:r>
          </w:p>
        </w:tc>
      </w:tr>
      <w:tr w:rsidR="002F57F0" w:rsidRPr="00B067FD" w14:paraId="17B70E43" w14:textId="77777777" w:rsidTr="00B7238C">
        <w:tc>
          <w:tcPr>
            <w:tcW w:w="9115" w:type="dxa"/>
            <w:hideMark/>
          </w:tcPr>
          <w:p w14:paraId="17B70E42" w14:textId="77777777" w:rsidR="00ED5CF4" w:rsidRPr="00B067FD" w:rsidRDefault="00ED5CF4">
            <w:pPr>
              <w:pStyle w:val="Accessibilitytext"/>
              <w:rPr>
                <w:lang w:val="en-AU"/>
              </w:rPr>
            </w:pPr>
            <w:r w:rsidRPr="00B067FD">
              <w:rPr>
                <w:lang w:val="en-AU"/>
              </w:rPr>
              <w:t xml:space="preserve">If you have difficulty reading a standard printed document and would like an alternative format, please phone 13 22 81. </w:t>
            </w:r>
          </w:p>
        </w:tc>
      </w:tr>
      <w:tr w:rsidR="002F57F0" w:rsidRPr="00B067FD" w14:paraId="17B70E46" w14:textId="77777777" w:rsidTr="00B7238C">
        <w:tc>
          <w:tcPr>
            <w:tcW w:w="9115" w:type="dxa"/>
            <w:hideMark/>
          </w:tcPr>
          <w:p w14:paraId="17B70E44" w14:textId="77777777" w:rsidR="00ED5CF4" w:rsidRPr="00B067FD" w:rsidRDefault="00ED5CF4">
            <w:pPr>
              <w:pStyle w:val="Accessibilitytext"/>
              <w:rPr>
                <w:rStyle w:val="AccessibilityLgtext"/>
                <w:b w:val="0"/>
                <w:bCs w:val="0"/>
                <w:lang w:val="en-AU"/>
              </w:rPr>
            </w:pPr>
            <w:r w:rsidRPr="00B067FD">
              <w:rPr>
                <w:noProof/>
                <w:lang w:val="en-AU"/>
              </w:rPr>
              <w:drawing>
                <wp:anchor distT="0" distB="0" distL="114300" distR="114300" simplePos="0" relativeHeight="251658240" behindDoc="0" locked="0" layoutInCell="1" allowOverlap="1" wp14:anchorId="17B70E4C" wp14:editId="17B70E4D">
                  <wp:simplePos x="0" y="0"/>
                  <wp:positionH relativeFrom="column">
                    <wp:posOffset>-3810</wp:posOffset>
                  </wp:positionH>
                  <wp:positionV relativeFrom="paragraph">
                    <wp:posOffset>3810</wp:posOffset>
                  </wp:positionV>
                  <wp:extent cx="464185" cy="464185"/>
                  <wp:effectExtent l="0" t="0" r="0" b="0"/>
                  <wp:wrapSquare wrapText="bothSides"/>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pic:spPr>
                      </pic:pic>
                    </a:graphicData>
                  </a:graphic>
                  <wp14:sizeRelH relativeFrom="page">
                    <wp14:pctWidth>0</wp14:pctWidth>
                  </wp14:sizeRelH>
                  <wp14:sizeRelV relativeFrom="page">
                    <wp14:pctHeight>0</wp14:pctHeight>
                  </wp14:sizeRelV>
                </wp:anchor>
              </w:drawing>
            </w:r>
            <w:r w:rsidRPr="00B067FD">
              <w:rPr>
                <w:rStyle w:val="AccessibilityLgtext"/>
                <w:lang w:val="en-AU"/>
              </w:rPr>
              <w:t>If English is not your first language and you need the Translating and Interpreting Service (TIS), please call 13 14 50.</w:t>
            </w:r>
          </w:p>
          <w:p w14:paraId="17B70E45" w14:textId="77777777" w:rsidR="00ED5CF4" w:rsidRPr="00B067FD" w:rsidRDefault="00ED5CF4">
            <w:pPr>
              <w:pStyle w:val="Accessibilitytext"/>
              <w:rPr>
                <w:lang w:val="en-AU"/>
              </w:rPr>
            </w:pPr>
            <w:r w:rsidRPr="00B067FD">
              <w:rPr>
                <w:rStyle w:val="AccessibilityLgtext"/>
                <w:lang w:val="en-AU"/>
              </w:rPr>
              <w:t>For further accessibility information, visit: www.health.act.gov.au/accessibility</w:t>
            </w:r>
          </w:p>
        </w:tc>
      </w:tr>
      <w:tr w:rsidR="002F57F0" w:rsidRPr="00B067FD" w14:paraId="17B70E48" w14:textId="77777777" w:rsidTr="00B7238C">
        <w:tc>
          <w:tcPr>
            <w:tcW w:w="9115" w:type="dxa"/>
            <w:hideMark/>
          </w:tcPr>
          <w:p w14:paraId="17B70E47" w14:textId="77777777" w:rsidR="00ED5CF4" w:rsidRPr="00B067FD" w:rsidRDefault="00ED5CF4">
            <w:pPr>
              <w:pStyle w:val="Accessibilitytext"/>
              <w:rPr>
                <w:lang w:val="en-AU"/>
              </w:rPr>
            </w:pPr>
            <w:r w:rsidRPr="00B067FD">
              <w:rPr>
                <w:lang w:val="en-AU"/>
              </w:rPr>
              <w:t xml:space="preserve">www.health.act.gov.au | Phone: 132281 </w:t>
            </w:r>
          </w:p>
        </w:tc>
      </w:tr>
      <w:tr w:rsidR="002F57F0" w:rsidRPr="00B067FD" w14:paraId="17B70E4A" w14:textId="77777777" w:rsidTr="00B7238C">
        <w:tc>
          <w:tcPr>
            <w:tcW w:w="9115" w:type="dxa"/>
            <w:tcBorders>
              <w:top w:val="nil"/>
              <w:left w:val="nil"/>
              <w:bottom w:val="single" w:sz="4" w:space="0" w:color="282828"/>
              <w:right w:val="nil"/>
            </w:tcBorders>
            <w:hideMark/>
          </w:tcPr>
          <w:p w14:paraId="17B70E49" w14:textId="77777777" w:rsidR="00ED5CF4" w:rsidRPr="00B067FD" w:rsidRDefault="00ED5CF4">
            <w:pPr>
              <w:pStyle w:val="Accessibilitytext"/>
              <w:rPr>
                <w:lang w:val="en-AU"/>
              </w:rPr>
            </w:pPr>
            <w:r w:rsidRPr="00B067FD">
              <w:rPr>
                <w:lang w:val="en-AU"/>
              </w:rPr>
              <w:t>© Australian Capital Territory, Canberra</w:t>
            </w:r>
          </w:p>
        </w:tc>
      </w:tr>
    </w:tbl>
    <w:p w14:paraId="17B70E4B" w14:textId="77777777" w:rsidR="00ED5CF4" w:rsidRPr="00B067FD" w:rsidRDefault="00ED5CF4" w:rsidP="00FE3396">
      <w:pPr>
        <w:pStyle w:val="Compact"/>
        <w:rPr>
          <w:sz w:val="20"/>
          <w:szCs w:val="20"/>
        </w:rPr>
      </w:pPr>
    </w:p>
    <w:sectPr w:rsidR="00ED5CF4" w:rsidRPr="00B067FD" w:rsidSect="00A22B36">
      <w:headerReference w:type="even" r:id="rId14"/>
      <w:headerReference w:type="default" r:id="rId15"/>
      <w:footerReference w:type="even" r:id="rId16"/>
      <w:footerReference w:type="default" r:id="rId17"/>
      <w:headerReference w:type="first" r:id="rId18"/>
      <w:footerReference w:type="first" r:id="rId19"/>
      <w:type w:val="continuous"/>
      <w:pgSz w:w="15840" w:h="12240" w:orient="landscape"/>
      <w:pgMar w:top="1985" w:right="1304" w:bottom="1440" w:left="130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0E54" w14:textId="77777777" w:rsidR="00ED5CF4" w:rsidRDefault="00ED5CF4">
      <w:pPr>
        <w:spacing w:after="0"/>
      </w:pPr>
      <w:r>
        <w:separator/>
      </w:r>
    </w:p>
  </w:endnote>
  <w:endnote w:type="continuationSeparator" w:id="0">
    <w:p w14:paraId="17B70E56" w14:textId="77777777" w:rsidR="00ED5CF4" w:rsidRDefault="00ED5C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D3AB" w14:textId="77777777" w:rsidR="00ED5CF4" w:rsidRDefault="00ED5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0E4F" w14:textId="40AFD0F1" w:rsidR="00ED5CF4" w:rsidRDefault="00ED5CF4">
    <w:pPr>
      <w:pStyle w:val="Footer"/>
    </w:pPr>
    <w:r>
      <w:t>ACT Admitted Patient Care (APC) - Version 5: 26/02/2025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B75F" w14:textId="77777777" w:rsidR="00ED5CF4" w:rsidRDefault="00ED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70E50" w14:textId="77777777" w:rsidR="00ED5CF4" w:rsidRDefault="00ED5CF4">
      <w:pPr>
        <w:spacing w:after="0"/>
      </w:pPr>
      <w:r>
        <w:separator/>
      </w:r>
    </w:p>
  </w:footnote>
  <w:footnote w:type="continuationSeparator" w:id="0">
    <w:p w14:paraId="17B70E52" w14:textId="77777777" w:rsidR="00ED5CF4" w:rsidRDefault="00ED5C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0A3E" w14:textId="77777777" w:rsidR="00ED5CF4" w:rsidRDefault="00ED5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0E4E" w14:textId="77777777" w:rsidR="00ED5CF4" w:rsidRDefault="00ED5CF4">
    <w:pPr>
      <w:pStyle w:val="Header"/>
    </w:pPr>
    <w:r>
      <w:rPr>
        <w:noProof/>
      </w:rPr>
      <w:drawing>
        <wp:anchor distT="0" distB="0" distL="114300" distR="114300" simplePos="0" relativeHeight="251656704" behindDoc="0" locked="0" layoutInCell="1" allowOverlap="1" wp14:anchorId="17B70E50" wp14:editId="17B70E51">
          <wp:simplePos x="0" y="0"/>
          <wp:positionH relativeFrom="column">
            <wp:posOffset>7239000</wp:posOffset>
          </wp:positionH>
          <wp:positionV relativeFrom="paragraph">
            <wp:posOffset>-219075</wp:posOffset>
          </wp:positionV>
          <wp:extent cx="1163320" cy="600075"/>
          <wp:effectExtent l="0" t="0" r="0" b="0"/>
          <wp:wrapSquare wrapText="bothSides"/>
          <wp:docPr id="3" name="Picture 1">
            <a:extLst xmlns:a="http://schemas.openxmlformats.org/drawingml/2006/main">
              <a:ext uri="{FF2B5EF4-FFF2-40B4-BE49-F238E27FC236}">
                <a16:creationId xmlns:a16="http://schemas.microsoft.com/office/drawing/2014/main" id="{9D6B0ECA-0EED-42E1-A91F-D9E6117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9D6B0ECA-0EED-42E1-A91F-D9E61176B3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0075"/>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17B70E52" wp14:editId="17B70E53">
              <wp:simplePos x="0" y="0"/>
              <wp:positionH relativeFrom="margin">
                <wp:posOffset>0</wp:posOffset>
              </wp:positionH>
              <wp:positionV relativeFrom="paragraph">
                <wp:posOffset>-311150</wp:posOffset>
              </wp:positionV>
              <wp:extent cx="5629275" cy="840105"/>
              <wp:effectExtent l="0" t="3175"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70E56" w14:textId="77777777" w:rsidR="00ED5CF4" w:rsidRPr="00B844F9" w:rsidRDefault="00ED5CF4"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Dataset 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ECC85" id="_x0000_t202" coordsize="21600,21600" o:spt="202" path="m,l,21600r21600,l21600,xe">
              <v:stroke joinstyle="miter"/>
              <v:path gradientshapeok="t" o:connecttype="rect"/>
            </v:shapetype>
            <v:shape id="Text Box 2" o:spid="_x0000_s1026" type="#_x0000_t202" style="position:absolute;margin-left:0;margin-top:-24.5pt;width:443.25pt;height:66.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" filled="f" stroked="f">
              <v:textbox inset="0,,0">
                <w:txbxContent>
                  <w:p w14:paraId="7067E212" w14:textId="49FB98B6" w:rsidR="00D34B58" w:rsidRPr="00B844F9" w:rsidRDefault="00B844F9"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sidR="00C30C2E">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v:textbox>
              <w10:wrap type="square" anchorx="margin"/>
            </v:shape>
          </w:pict>
        </mc:Fallback>
      </mc:AlternateContent>
    </w:r>
    <w:r>
      <w:rPr>
        <w:noProof/>
      </w:rPr>
      <mc:AlternateContent>
        <mc:Choice Requires="wps">
          <w:drawing>
            <wp:anchor distT="0" distB="0" distL="114300" distR="114300" simplePos="0" relativeHeight="251655679" behindDoc="0" locked="0" layoutInCell="1" allowOverlap="1" wp14:anchorId="17B70E54" wp14:editId="17B70E55">
              <wp:simplePos x="0" y="0"/>
              <wp:positionH relativeFrom="page">
                <wp:posOffset>-9525</wp:posOffset>
              </wp:positionH>
              <wp:positionV relativeFrom="paragraph">
                <wp:posOffset>-463550</wp:posOffset>
              </wp:positionV>
              <wp:extent cx="10687050" cy="1043305"/>
              <wp:effectExtent l="0" t="3175" r="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104330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AD11D" id="Rectangle 1" o:spid="_x0000_s1026" style="position:absolute;margin-left:-.75pt;margin-top:-36.5pt;width:841.5pt;height:82.1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" fillcolor="#002677 [3204]" stroked="f" strokeweight="2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0AA3" w14:textId="77777777" w:rsidR="00ED5CF4" w:rsidRDefault="00ED5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C211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2047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0C"/>
    <w:rsid w:val="00120EC1"/>
    <w:rsid w:val="00825762"/>
    <w:rsid w:val="00A974BE"/>
    <w:rsid w:val="00AC647E"/>
    <w:rsid w:val="00C4570C"/>
    <w:rsid w:val="00ED5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0762"/>
  <w15:docId w15:val="{0687B63E-AC04-44CF-A30A-6C5FE4E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A2"/>
    <w:rPr>
      <w:rFonts w:ascii="Arial" w:hAnsi="Arial"/>
      <w:lang w:val="en-AU"/>
    </w:rPr>
  </w:style>
  <w:style w:type="paragraph" w:styleId="Heading1">
    <w:name w:val="heading 1"/>
    <w:basedOn w:val="Normal"/>
    <w:next w:val="BodyText"/>
    <w:uiPriority w:val="9"/>
    <w:qFormat/>
    <w:rsid w:val="00237A5D"/>
    <w:pPr>
      <w:keepNext/>
      <w:keepLines/>
      <w:shd w:val="clear" w:color="auto" w:fill="E4F6F9" w:themeFill="accent2" w:themeFillTint="33"/>
      <w:spacing w:before="240" w:after="120"/>
      <w:outlineLvl w:val="0"/>
    </w:pPr>
    <w:rPr>
      <w:rFonts w:eastAsiaTheme="majorEastAsia" w:cs="Arial"/>
      <w:b/>
      <w:bCs/>
      <w:color w:val="002677" w:themeColor="accent1"/>
    </w:rPr>
  </w:style>
  <w:style w:type="paragraph" w:styleId="Heading2">
    <w:name w:val="heading 2"/>
    <w:basedOn w:val="Normal"/>
    <w:next w:val="BodyText"/>
    <w:uiPriority w:val="9"/>
    <w:unhideWhenUsed/>
    <w:qFormat/>
    <w:rsid w:val="00237A5D"/>
    <w:pPr>
      <w:keepNext/>
      <w:keepLines/>
      <w:spacing w:before="240" w:after="120"/>
      <w:outlineLvl w:val="1"/>
    </w:pPr>
    <w:rPr>
      <w:rFonts w:eastAsiaTheme="majorEastAsia" w:cs="Arial"/>
      <w:b/>
      <w:bCs/>
      <w:color w:val="31BED1" w:themeColor="accent2" w:themeShade="BF"/>
      <w:sz w:val="22"/>
      <w:szCs w:val="22"/>
    </w:rPr>
  </w:style>
  <w:style w:type="paragraph" w:styleId="Heading3">
    <w:name w:val="heading 3"/>
    <w:basedOn w:val="Normal"/>
    <w:next w:val="BodyText"/>
    <w:uiPriority w:val="9"/>
    <w:unhideWhenUsed/>
    <w:qFormat/>
    <w:rsid w:val="00585FFC"/>
    <w:pPr>
      <w:keepNext/>
      <w:keepLines/>
      <w:spacing w:before="200" w:after="0"/>
      <w:outlineLvl w:val="2"/>
    </w:pPr>
    <w:rPr>
      <w:rFonts w:asciiTheme="majorHAnsi" w:eastAsiaTheme="majorEastAsia" w:hAnsiTheme="majorHAnsi" w:cstheme="majorBidi"/>
      <w:b/>
      <w:bCs/>
      <w:color w:val="CF1F25" w:themeColor="accent5"/>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002677"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002677"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02677"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02677"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02677"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026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A2B46"/>
    <w:pPr>
      <w:keepNext/>
      <w:keepLines/>
      <w:spacing w:before="240" w:after="240"/>
    </w:pPr>
    <w:rPr>
      <w:rFonts w:eastAsiaTheme="majorEastAsia" w:cs="Arial"/>
      <w:b/>
      <w:bCs/>
      <w:color w:val="002677" w:themeColor="accent1"/>
      <w:sz w:val="32"/>
      <w:szCs w:val="44"/>
    </w:rPr>
  </w:style>
  <w:style w:type="paragraph" w:styleId="Subtitle">
    <w:name w:val="Subtitle"/>
    <w:basedOn w:val="Title"/>
    <w:next w:val="BodyText"/>
    <w:qFormat/>
    <w:rPr>
      <w:sz w:val="30"/>
      <w:szCs w:val="30"/>
    </w:rPr>
  </w:style>
  <w:style w:type="paragraph" w:customStyle="1" w:styleId="Author">
    <w:name w:val="Author"/>
    <w:next w:val="BodyText"/>
    <w:qFormat/>
    <w:rsid w:val="008C1736"/>
    <w:pPr>
      <w:keepNext/>
      <w:keepLines/>
    </w:pPr>
    <w:rPr>
      <w:rFonts w:ascii="Arial" w:hAnsi="Arial" w:cs="Arial"/>
    </w:rPr>
  </w:style>
  <w:style w:type="paragraph" w:styleId="Date">
    <w:name w:val="Date"/>
    <w:next w:val="BodyText"/>
    <w:qFormat/>
    <w:rsid w:val="008C1736"/>
    <w:pPr>
      <w:keepNext/>
      <w:keepLines/>
    </w:pPr>
    <w:rPr>
      <w:rFonts w:ascii="Arial" w:hAnsi="Arial" w:cs="Arial"/>
      <w:sz w:val="18"/>
      <w:szCs w:val="18"/>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002677" w:themeColor="accent1"/>
    </w:rPr>
  </w:style>
  <w:style w:type="paragraph" w:styleId="TOCHeading">
    <w:name w:val="TOC Heading"/>
    <w:basedOn w:val="Heading1"/>
    <w:next w:val="BodyText"/>
    <w:uiPriority w:val="39"/>
    <w:unhideWhenUsed/>
    <w:qFormat/>
    <w:pPr>
      <w:spacing w:line="259" w:lineRule="auto"/>
      <w:outlineLvl w:val="9"/>
    </w:pPr>
    <w:rPr>
      <w:b w:val="0"/>
      <w:bCs w:val="0"/>
      <w:color w:val="001C59"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304DBF"/>
    <w:pPr>
      <w:tabs>
        <w:tab w:val="center" w:pos="4513"/>
        <w:tab w:val="right" w:pos="9026"/>
      </w:tabs>
      <w:spacing w:after="0"/>
    </w:pPr>
  </w:style>
  <w:style w:type="character" w:customStyle="1" w:styleId="HeaderChar">
    <w:name w:val="Header Char"/>
    <w:basedOn w:val="DefaultParagraphFont"/>
    <w:link w:val="Header"/>
    <w:rsid w:val="00304DBF"/>
  </w:style>
  <w:style w:type="paragraph" w:styleId="Footer">
    <w:name w:val="footer"/>
    <w:basedOn w:val="Normal"/>
    <w:link w:val="FooterChar"/>
    <w:rsid w:val="007F2484"/>
    <w:pPr>
      <w:tabs>
        <w:tab w:val="center" w:pos="4513"/>
        <w:tab w:val="right" w:pos="9026"/>
      </w:tabs>
      <w:spacing w:after="0"/>
    </w:pPr>
    <w:rPr>
      <w:color w:val="002677" w:themeColor="accent1"/>
      <w:sz w:val="16"/>
    </w:rPr>
  </w:style>
  <w:style w:type="character" w:customStyle="1" w:styleId="FooterChar">
    <w:name w:val="Footer Char"/>
    <w:basedOn w:val="DefaultParagraphFont"/>
    <w:link w:val="Footer"/>
    <w:rsid w:val="007F2484"/>
    <w:rPr>
      <w:rFonts w:ascii="Arial" w:hAnsi="Arial"/>
      <w:color w:val="002677" w:themeColor="accent1"/>
      <w:sz w:val="16"/>
    </w:rPr>
  </w:style>
  <w:style w:type="character" w:styleId="UnresolvedMention">
    <w:name w:val="Unresolved Mention"/>
    <w:basedOn w:val="DefaultParagraphFont"/>
    <w:uiPriority w:val="99"/>
    <w:semiHidden/>
    <w:unhideWhenUsed/>
    <w:rsid w:val="00B93D32"/>
    <w:rPr>
      <w:color w:val="605E5C"/>
      <w:shd w:val="clear" w:color="auto" w:fill="E1DFDD"/>
    </w:rPr>
  </w:style>
  <w:style w:type="table" w:styleId="TableGrid">
    <w:name w:val="Table Grid"/>
    <w:basedOn w:val="TableNormal"/>
    <w:rsid w:val="00FE33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text">
    <w:name w:val="Accessibility text"/>
    <w:basedOn w:val="Normal"/>
    <w:uiPriority w:val="99"/>
    <w:rsid w:val="002F57F0"/>
    <w:pPr>
      <w:suppressAutoHyphens/>
      <w:autoSpaceDE w:val="0"/>
      <w:autoSpaceDN w:val="0"/>
      <w:adjustRightInd w:val="0"/>
      <w:spacing w:after="57" w:line="180" w:lineRule="atLeast"/>
    </w:pPr>
    <w:rPr>
      <w:rFonts w:ascii="Calibri" w:eastAsia="Calibri" w:hAnsi="Calibri" w:cs="Arial"/>
      <w:color w:val="323232"/>
      <w:sz w:val="18"/>
      <w:szCs w:val="18"/>
      <w:lang w:val="en-GB"/>
    </w:rPr>
  </w:style>
  <w:style w:type="paragraph" w:customStyle="1" w:styleId="AOCheading">
    <w:name w:val="AOC heading"/>
    <w:basedOn w:val="Normal"/>
    <w:qFormat/>
    <w:rsid w:val="00A921FF"/>
    <w:pPr>
      <w:spacing w:before="120" w:after="60"/>
    </w:pPr>
    <w:rPr>
      <w:rFonts w:ascii="Calibri" w:eastAsia="Calibri" w:hAnsi="Calibri" w:cs="Times New Roman"/>
      <w:b/>
      <w:bCs/>
      <w:sz w:val="22"/>
      <w:szCs w:val="22"/>
    </w:rPr>
  </w:style>
  <w:style w:type="character" w:customStyle="1" w:styleId="AccessibilityLgtext">
    <w:name w:val="Accessibility Lg text"/>
    <w:uiPriority w:val="99"/>
    <w:rsid w:val="002F57F0"/>
    <w:rPr>
      <w:b/>
      <w:bCs/>
      <w:sz w:val="20"/>
      <w:szCs w:val="20"/>
    </w:rPr>
  </w:style>
  <w:style w:type="table" w:customStyle="1" w:styleId="AccessibilityTable">
    <w:name w:val="Accessibility Table"/>
    <w:basedOn w:val="TableNormal"/>
    <w:uiPriority w:val="99"/>
    <w:rsid w:val="002F57F0"/>
    <w:pPr>
      <w:spacing w:after="0"/>
    </w:pPr>
    <w:rPr>
      <w:rFonts w:ascii="Calibri" w:eastAsia="Calibri" w:hAnsi="Calibri" w:cs="Times New Roman"/>
      <w:sz w:val="20"/>
      <w:szCs w:val="20"/>
      <w:lang w:val="en-AU" w:eastAsia="en-AU"/>
    </w:rPr>
    <w:tblPr>
      <w:tblInd w:w="0" w:type="nil"/>
    </w:tblPr>
    <w:tcPr>
      <w:shd w:val="clear" w:color="auto" w:fill="F2F2F2" w:themeFill="background1" w:themeFillShade="F2"/>
    </w:tcPr>
    <w:tblStylePr w:type="firstRow">
      <w:tblPr/>
      <w:tcPr>
        <w:shd w:val="clear" w:color="auto" w:fill="F2EAA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92232">
      <w:bodyDiv w:val="1"/>
      <w:marLeft w:val="0"/>
      <w:marRight w:val="0"/>
      <w:marTop w:val="0"/>
      <w:marBottom w:val="0"/>
      <w:divBdr>
        <w:top w:val="none" w:sz="0" w:space="0" w:color="auto"/>
        <w:left w:val="none" w:sz="0" w:space="0" w:color="auto"/>
        <w:bottom w:val="none" w:sz="0" w:space="0" w:color="auto"/>
        <w:right w:val="none" w:sz="0" w:space="0" w:color="auto"/>
      </w:divBdr>
    </w:div>
    <w:div w:id="1710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ct-health.atlassian.net/servicedesk/customer/portal/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info@act.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2024">
      <a:dk1>
        <a:sysClr val="windowText" lastClr="000000"/>
      </a:dk1>
      <a:lt1>
        <a:sysClr val="window" lastClr="FFFFFF"/>
      </a:lt1>
      <a:dk2>
        <a:srgbClr val="343742"/>
      </a:dk2>
      <a:lt2>
        <a:srgbClr val="E7E6E6"/>
      </a:lt2>
      <a:accent1>
        <a:srgbClr val="002677"/>
      </a:accent1>
      <a:accent2>
        <a:srgbClr val="78D5E1"/>
      </a:accent2>
      <a:accent3>
        <a:srgbClr val="E0CC21"/>
      </a:accent3>
      <a:accent4>
        <a:srgbClr val="F36C23"/>
      </a:accent4>
      <a:accent5>
        <a:srgbClr val="CF1F25"/>
      </a:accent5>
      <a:accent6>
        <a:srgbClr val="A0C13B"/>
      </a:accent6>
      <a:hlink>
        <a:srgbClr val="23397E"/>
      </a:hlink>
      <a:folHlink>
        <a:srgbClr val="AB43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9B42-084B-4921-BE25-E632D6B37176}">
  <ds:schemaRefs>
    <ds:schemaRef ds:uri="http://schemas.microsoft.com/sharepoint/v3/contenttype/forms"/>
  </ds:schemaRefs>
</ds:datastoreItem>
</file>

<file path=customXml/itemProps2.xml><?xml version="1.0" encoding="utf-8"?>
<ds:datastoreItem xmlns:ds="http://schemas.openxmlformats.org/officeDocument/2006/customXml" ds:itemID="{F91DDBE0-F980-4231-AADE-BA90C0A4144A}">
  <ds:schemaRefs>
    <ds:schemaRef ds:uri="http://schemas.microsoft.com/office/2006/metadata/properties"/>
    <ds:schemaRef ds:uri="http://schemas.microsoft.com/office/infopath/2007/PartnerControls"/>
    <ds:schemaRef ds:uri="e2f4fea6-48eb-4aba-870e-ab9d9117d398"/>
  </ds:schemaRefs>
</ds:datastoreItem>
</file>

<file path=customXml/itemProps3.xml><?xml version="1.0" encoding="utf-8"?>
<ds:datastoreItem xmlns:ds="http://schemas.openxmlformats.org/officeDocument/2006/customXml" ds:itemID="{224BD2C2-0337-4617-9D00-8F3203E2AB8F}"/>
</file>

<file path=customXml/itemProps4.xml><?xml version="1.0" encoding="utf-8"?>
<ds:datastoreItem xmlns:ds="http://schemas.openxmlformats.org/officeDocument/2006/customXml" ds:itemID="{8C7FD90C-7A7C-4D3E-9BB7-3F15C251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Untitled</vt:lpstr>
    </vt:vector>
  </TitlesOfParts>
  <Company>ACT Government</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Epidemiology Section, ACT Health | July, 2023</dc:creator>
  <cp:keywords/>
  <cp:lastModifiedBy>Holroyd, Warren</cp:lastModifiedBy>
  <cp:revision>10</cp:revision>
  <dcterms:created xsi:type="dcterms:W3CDTF">2024-07-14T02:53:00Z</dcterms:created>
  <dcterms:modified xsi:type="dcterms:W3CDTF">2025-08-11T23:50:00Z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2024-05-13</vt:lpwstr>
  </property>
  <property fmtid="{D5CDD505-2E9C-101B-9397-08002B2CF9AE}" pid="3" name="output">
    <vt:lpwstr/>
  </property>
  <property fmtid="{D5CDD505-2E9C-101B-9397-08002B2CF9AE}" pid="4" name="MSIP_Label_76a44f01-6907-4156-9b79-a71e6c56ad93_ActionId">
    <vt:lpwstr>ba470a86-c1b1-4a21-9269-b5262d7c364a</vt:lpwstr>
  </property>
  <property fmtid="{D5CDD505-2E9C-101B-9397-08002B2CF9AE}" pid="5" name="MSIP_Label_76a44f01-6907-4156-9b79-a71e6c56ad93_Name">
    <vt:lpwstr>OFFICIAL</vt:lpwstr>
  </property>
  <property fmtid="{D5CDD505-2E9C-101B-9397-08002B2CF9AE}" pid="6" name="MSIP_Label_76a44f01-6907-4156-9b79-a71e6c56ad93_SetDate">
    <vt:lpwstr>2025-08-13T01:19:52Z</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Enabled">
    <vt:lpwstr>True</vt:lpwstr>
  </property>
  <property fmtid="{D5CDD505-2E9C-101B-9397-08002B2CF9AE}" pid="9" name="ContentTypeId">
    <vt:lpwstr>0x0101003A3BE6547C5F4B4480635010AF4EB74D</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y fmtid="{D5CDD505-2E9C-101B-9397-08002B2CF9AE}" pid="13" name="MediaServiceImageTags">
    <vt:lpwstr/>
  </property>
</Properties>
</file>