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EA" w:rsidRPr="00B24C27" w:rsidRDefault="00D67A32" w:rsidP="00A56710">
      <w:pPr>
        <w:pStyle w:val="Title"/>
        <w:spacing w:after="0"/>
        <w:rPr>
          <w:rFonts w:ascii="Corbel" w:hAnsi="Corbel"/>
          <w:b/>
          <w:color w:val="3E3E67" w:themeColor="accent1" w:themeShade="BF"/>
        </w:rPr>
      </w:pPr>
      <w:r>
        <w:rPr>
          <w:rFonts w:ascii="Corbel" w:hAnsi="Corbel"/>
          <w:b/>
          <w:color w:val="3E3E67" w:themeColor="accent1" w:themeShade="BF"/>
        </w:rPr>
        <w:t>Register of Congenital Conditions</w:t>
      </w:r>
      <w:r w:rsidR="00C06E0C" w:rsidRPr="00B24C27">
        <w:rPr>
          <w:rFonts w:ascii="Corbel" w:hAnsi="Corbel"/>
          <w:b/>
          <w:color w:val="3E3E67" w:themeColor="accent1" w:themeShade="BF"/>
        </w:rPr>
        <w:t xml:space="preserve"> </w:t>
      </w:r>
    </w:p>
    <w:p w:rsidR="00A56710" w:rsidRPr="00DD3073" w:rsidRDefault="00FB3B3D" w:rsidP="00DD3073">
      <w:pPr>
        <w:pStyle w:val="Subtitle"/>
        <w:ind w:left="720" w:firstLine="720"/>
        <w:jc w:val="right"/>
        <w:rPr>
          <w:rFonts w:ascii="Corbel" w:hAnsi="Corbel"/>
          <w:b/>
          <w:i w:val="0"/>
          <w:sz w:val="32"/>
          <w:szCs w:val="32"/>
        </w:rPr>
      </w:pPr>
      <w:r w:rsidRPr="00DD3073">
        <w:rPr>
          <w:rFonts w:ascii="Corbel" w:hAnsi="Corbel"/>
          <w:i w:val="0"/>
          <w:sz w:val="32"/>
          <w:szCs w:val="32"/>
        </w:rPr>
        <w:t xml:space="preserve">NSW </w:t>
      </w:r>
      <w:r w:rsidR="00665E92" w:rsidRPr="00DD3073">
        <w:rPr>
          <w:rFonts w:ascii="Corbel" w:hAnsi="Corbel"/>
          <w:i w:val="0"/>
          <w:sz w:val="32"/>
          <w:szCs w:val="32"/>
        </w:rPr>
        <w:t>Ministry</w:t>
      </w:r>
      <w:r w:rsidRPr="00DD3073">
        <w:rPr>
          <w:rFonts w:ascii="Corbel" w:hAnsi="Corbel"/>
          <w:i w:val="0"/>
          <w:sz w:val="32"/>
          <w:szCs w:val="32"/>
        </w:rPr>
        <w:t xml:space="preserve"> of Health</w:t>
      </w:r>
    </w:p>
    <w:p w:rsidR="00F10270" w:rsidRPr="000A7E86" w:rsidRDefault="00F10270" w:rsidP="00DD3073">
      <w:pPr>
        <w:pStyle w:val="Heading1"/>
      </w:pPr>
      <w:r w:rsidRPr="000A7E86">
        <w:t>Background</w:t>
      </w:r>
    </w:p>
    <w:p w:rsidR="00035565" w:rsidRDefault="00D67A32" w:rsidP="00A3472D">
      <w:pPr>
        <w:spacing w:after="0" w:line="240" w:lineRule="auto"/>
        <w:rPr>
          <w:rFonts w:ascii="Calibri" w:hAnsi="Calibri" w:cs="Calibri"/>
          <w:sz w:val="24"/>
          <w:szCs w:val="24"/>
        </w:rPr>
      </w:pPr>
      <w:r w:rsidRPr="00A3472D">
        <w:rPr>
          <w:rFonts w:ascii="Calibri" w:hAnsi="Calibri" w:cs="Calibri"/>
          <w:sz w:val="24"/>
          <w:szCs w:val="24"/>
        </w:rPr>
        <w:t>The NSW Register</w:t>
      </w:r>
      <w:r w:rsidR="00062DFD">
        <w:rPr>
          <w:rFonts w:ascii="Calibri" w:hAnsi="Calibri" w:cs="Calibri"/>
          <w:sz w:val="24"/>
          <w:szCs w:val="24"/>
        </w:rPr>
        <w:t xml:space="preserve"> of Congenital Conditions</w:t>
      </w:r>
      <w:r w:rsidRPr="00A3472D">
        <w:rPr>
          <w:rFonts w:ascii="Calibri" w:hAnsi="Calibri" w:cs="Calibri"/>
          <w:sz w:val="24"/>
          <w:szCs w:val="24"/>
        </w:rPr>
        <w:t xml:space="preserve"> (formerly </w:t>
      </w:r>
      <w:r w:rsidR="007822F9">
        <w:rPr>
          <w:rFonts w:ascii="Calibri" w:hAnsi="Calibri" w:cs="Calibri"/>
          <w:sz w:val="24"/>
          <w:szCs w:val="24"/>
        </w:rPr>
        <w:t>known</w:t>
      </w:r>
      <w:r w:rsidR="000F5D4F" w:rsidRPr="00A3472D">
        <w:rPr>
          <w:rFonts w:ascii="Calibri" w:hAnsi="Calibri" w:cs="Calibri"/>
          <w:sz w:val="24"/>
          <w:szCs w:val="24"/>
        </w:rPr>
        <w:t xml:space="preserve"> as </w:t>
      </w:r>
      <w:r w:rsidRPr="00A3472D">
        <w:rPr>
          <w:rFonts w:ascii="Calibri" w:hAnsi="Calibri" w:cs="Calibri"/>
          <w:sz w:val="24"/>
          <w:szCs w:val="24"/>
        </w:rPr>
        <w:t xml:space="preserve">the </w:t>
      </w:r>
      <w:r w:rsidR="000F5D4F" w:rsidRPr="00A3472D">
        <w:rPr>
          <w:rFonts w:ascii="Calibri" w:hAnsi="Calibri" w:cs="Calibri"/>
          <w:sz w:val="24"/>
          <w:szCs w:val="24"/>
        </w:rPr>
        <w:t xml:space="preserve">NSW </w:t>
      </w:r>
      <w:r w:rsidRPr="00A3472D">
        <w:rPr>
          <w:rFonts w:ascii="Calibri" w:hAnsi="Calibri" w:cs="Calibri"/>
          <w:sz w:val="24"/>
          <w:szCs w:val="24"/>
        </w:rPr>
        <w:t>Birth De</w:t>
      </w:r>
      <w:r w:rsidR="00310850">
        <w:rPr>
          <w:rFonts w:ascii="Calibri" w:hAnsi="Calibri" w:cs="Calibri"/>
          <w:sz w:val="24"/>
          <w:szCs w:val="24"/>
        </w:rPr>
        <w:t>fects Register) is a population-</w:t>
      </w:r>
      <w:r w:rsidRPr="00A3472D">
        <w:rPr>
          <w:rFonts w:ascii="Calibri" w:hAnsi="Calibri" w:cs="Calibri"/>
          <w:sz w:val="24"/>
          <w:szCs w:val="24"/>
        </w:rPr>
        <w:t xml:space="preserve">based surveillance system established to monitor </w:t>
      </w:r>
      <w:r w:rsidR="000F5D4F" w:rsidRPr="00A3472D">
        <w:rPr>
          <w:rFonts w:ascii="Calibri" w:hAnsi="Calibri" w:cs="Calibri"/>
          <w:sz w:val="24"/>
          <w:szCs w:val="24"/>
        </w:rPr>
        <w:t>congenital</w:t>
      </w:r>
      <w:r w:rsidRPr="00A3472D">
        <w:rPr>
          <w:rFonts w:ascii="Calibri" w:hAnsi="Calibri" w:cs="Calibri"/>
          <w:sz w:val="24"/>
          <w:szCs w:val="24"/>
        </w:rPr>
        <w:t xml:space="preserve"> </w:t>
      </w:r>
      <w:r w:rsidR="000F5D4F" w:rsidRPr="00A3472D">
        <w:rPr>
          <w:rFonts w:ascii="Calibri" w:hAnsi="Calibri" w:cs="Calibri"/>
          <w:sz w:val="24"/>
          <w:szCs w:val="24"/>
        </w:rPr>
        <w:t>conditions</w:t>
      </w:r>
      <w:r w:rsidRPr="00A3472D">
        <w:rPr>
          <w:rFonts w:ascii="Calibri" w:hAnsi="Calibri" w:cs="Calibri"/>
          <w:sz w:val="24"/>
          <w:szCs w:val="24"/>
        </w:rPr>
        <w:t xml:space="preserve"> detected during pregnancy or at birth, or diagnosed in infants up to one year of age. The R</w:t>
      </w:r>
      <w:r w:rsidR="00062DFD">
        <w:rPr>
          <w:rFonts w:ascii="Calibri" w:hAnsi="Calibri" w:cs="Calibri"/>
          <w:sz w:val="24"/>
          <w:szCs w:val="24"/>
        </w:rPr>
        <w:t>egister of Congenital Conditions (R</w:t>
      </w:r>
      <w:r w:rsidRPr="00A3472D">
        <w:rPr>
          <w:rFonts w:ascii="Calibri" w:hAnsi="Calibri" w:cs="Calibri"/>
          <w:sz w:val="24"/>
          <w:szCs w:val="24"/>
        </w:rPr>
        <w:t>oCC</w:t>
      </w:r>
      <w:r w:rsidR="00062DFD">
        <w:rPr>
          <w:rFonts w:ascii="Calibri" w:hAnsi="Calibri" w:cs="Calibri"/>
          <w:sz w:val="24"/>
          <w:szCs w:val="24"/>
        </w:rPr>
        <w:t>)</w:t>
      </w:r>
      <w:r w:rsidRPr="00A3472D">
        <w:rPr>
          <w:rFonts w:ascii="Calibri" w:hAnsi="Calibri" w:cs="Calibri"/>
          <w:sz w:val="24"/>
          <w:szCs w:val="24"/>
        </w:rPr>
        <w:t xml:space="preserve"> was establishe</w:t>
      </w:r>
      <w:r w:rsidR="00310850">
        <w:rPr>
          <w:rFonts w:ascii="Calibri" w:hAnsi="Calibri" w:cs="Calibri"/>
          <w:sz w:val="24"/>
          <w:szCs w:val="24"/>
        </w:rPr>
        <w:t>d in 1990 and</w:t>
      </w:r>
      <w:r w:rsidR="00C14CA2">
        <w:rPr>
          <w:rFonts w:ascii="Calibri" w:hAnsi="Calibri" w:cs="Calibri"/>
          <w:sz w:val="24"/>
          <w:szCs w:val="24"/>
        </w:rPr>
        <w:t>,</w:t>
      </w:r>
      <w:r w:rsidRPr="00A3472D">
        <w:rPr>
          <w:rFonts w:ascii="Calibri" w:hAnsi="Calibri" w:cs="Calibri"/>
          <w:sz w:val="24"/>
          <w:szCs w:val="24"/>
        </w:rPr>
        <w:t xml:space="preserve"> under</w:t>
      </w:r>
      <w:r w:rsidR="00310850">
        <w:rPr>
          <w:rFonts w:ascii="Calibri" w:hAnsi="Calibri" w:cs="Calibri"/>
          <w:sz w:val="24"/>
          <w:szCs w:val="24"/>
        </w:rPr>
        <w:t xml:space="preserve"> the</w:t>
      </w:r>
      <w:r w:rsidRPr="00A3472D">
        <w:rPr>
          <w:rFonts w:ascii="Calibri" w:hAnsi="Calibri" w:cs="Calibri"/>
          <w:sz w:val="24"/>
          <w:szCs w:val="24"/>
        </w:rPr>
        <w:t xml:space="preserve"> </w:t>
      </w:r>
      <w:r w:rsidRPr="00A3472D">
        <w:rPr>
          <w:rFonts w:ascii="Calibri" w:hAnsi="Calibri" w:cs="Calibri"/>
          <w:i/>
          <w:iCs/>
          <w:sz w:val="24"/>
          <w:szCs w:val="24"/>
        </w:rPr>
        <w:t>NSW Public</w:t>
      </w:r>
      <w:r w:rsidRPr="00A3472D">
        <w:rPr>
          <w:rFonts w:ascii="Calibri" w:hAnsi="Calibri" w:cs="Calibri"/>
          <w:sz w:val="24"/>
          <w:szCs w:val="24"/>
        </w:rPr>
        <w:t xml:space="preserve"> </w:t>
      </w:r>
      <w:r w:rsidRPr="00A3472D">
        <w:rPr>
          <w:rFonts w:ascii="Calibri" w:hAnsi="Calibri" w:cs="Calibri"/>
          <w:i/>
          <w:iCs/>
          <w:sz w:val="24"/>
          <w:szCs w:val="24"/>
        </w:rPr>
        <w:t>Health Act 1991</w:t>
      </w:r>
      <w:r w:rsidRPr="00A3472D">
        <w:rPr>
          <w:rFonts w:ascii="Calibri" w:hAnsi="Calibri" w:cs="Calibri"/>
          <w:sz w:val="24"/>
          <w:szCs w:val="24"/>
        </w:rPr>
        <w:t>, from 1 January 1998 doctors, hospitals, and laboratories have been required to notify</w:t>
      </w:r>
      <w:r w:rsidR="000F5D4F" w:rsidRPr="00A3472D">
        <w:rPr>
          <w:rFonts w:ascii="Calibri" w:hAnsi="Calibri" w:cs="Calibri"/>
          <w:sz w:val="24"/>
          <w:szCs w:val="24"/>
        </w:rPr>
        <w:t xml:space="preserve"> certain congenital conditions</w:t>
      </w:r>
      <w:r w:rsidRPr="00A3472D">
        <w:rPr>
          <w:rFonts w:ascii="Calibri" w:hAnsi="Calibri" w:cs="Calibri"/>
          <w:sz w:val="24"/>
          <w:szCs w:val="24"/>
        </w:rPr>
        <w:t xml:space="preserve"> to the Register.</w:t>
      </w:r>
      <w:r w:rsidR="000F5D4F" w:rsidRPr="00A3472D">
        <w:rPr>
          <w:rFonts w:ascii="Calibri" w:hAnsi="Calibri" w:cs="Calibri"/>
          <w:sz w:val="24"/>
          <w:szCs w:val="24"/>
        </w:rPr>
        <w:t xml:space="preserve"> </w:t>
      </w:r>
    </w:p>
    <w:p w:rsidR="00035565" w:rsidRDefault="00035565" w:rsidP="00A3472D">
      <w:pPr>
        <w:spacing w:after="0" w:line="240" w:lineRule="auto"/>
        <w:rPr>
          <w:rFonts w:ascii="Calibri" w:hAnsi="Calibri" w:cs="Calibri"/>
          <w:sz w:val="24"/>
          <w:szCs w:val="24"/>
        </w:rPr>
      </w:pPr>
    </w:p>
    <w:p w:rsidR="00D67A32" w:rsidRPr="00A3472D" w:rsidRDefault="000F5D4F" w:rsidP="00A3472D">
      <w:pPr>
        <w:spacing w:after="0" w:line="240" w:lineRule="auto"/>
        <w:rPr>
          <w:rFonts w:ascii="Calibri" w:hAnsi="Calibri" w:cs="Calibri"/>
          <w:sz w:val="24"/>
          <w:szCs w:val="24"/>
        </w:rPr>
      </w:pPr>
      <w:r w:rsidRPr="00A3472D">
        <w:rPr>
          <w:rFonts w:ascii="Calibri" w:hAnsi="Calibri" w:cs="Calibri"/>
          <w:sz w:val="24"/>
          <w:szCs w:val="24"/>
        </w:rPr>
        <w:t xml:space="preserve">The Register is administered by the Centre for Epidemiology and Research of the NSW </w:t>
      </w:r>
      <w:r w:rsidR="00665E92">
        <w:rPr>
          <w:rFonts w:ascii="Calibri" w:hAnsi="Calibri" w:cs="Calibri"/>
          <w:sz w:val="24"/>
          <w:szCs w:val="24"/>
        </w:rPr>
        <w:t>Ministry</w:t>
      </w:r>
      <w:r w:rsidRPr="00A3472D">
        <w:rPr>
          <w:rFonts w:ascii="Calibri" w:hAnsi="Calibri" w:cs="Calibri"/>
          <w:sz w:val="24"/>
          <w:szCs w:val="24"/>
        </w:rPr>
        <w:t xml:space="preserve"> of Health.</w:t>
      </w:r>
      <w:r w:rsidR="005505E3">
        <w:rPr>
          <w:rFonts w:ascii="Calibri" w:hAnsi="Calibri" w:cs="Calibri"/>
          <w:sz w:val="24"/>
          <w:szCs w:val="24"/>
        </w:rPr>
        <w:t xml:space="preserve">  </w:t>
      </w:r>
      <w:r w:rsidR="005505E3" w:rsidRPr="009403A1">
        <w:rPr>
          <w:rFonts w:ascii="Calibri" w:hAnsi="Calibri" w:cs="Calibri"/>
          <w:sz w:val="24"/>
          <w:szCs w:val="24"/>
        </w:rPr>
        <w:t xml:space="preserve">The collection is based on the date of </w:t>
      </w:r>
      <w:r w:rsidR="001A14C1" w:rsidRPr="009403A1">
        <w:rPr>
          <w:rFonts w:ascii="Calibri" w:hAnsi="Calibri" w:cs="Calibri"/>
          <w:sz w:val="24"/>
          <w:szCs w:val="24"/>
        </w:rPr>
        <w:t>pregnancy outcome (i</w:t>
      </w:r>
      <w:r w:rsidR="009403A1" w:rsidRPr="009403A1">
        <w:rPr>
          <w:rFonts w:ascii="Calibri" w:hAnsi="Calibri" w:cs="Calibri"/>
          <w:sz w:val="24"/>
          <w:szCs w:val="24"/>
        </w:rPr>
        <w:t>.</w:t>
      </w:r>
      <w:r w:rsidR="001A14C1" w:rsidRPr="009403A1">
        <w:rPr>
          <w:rFonts w:ascii="Calibri" w:hAnsi="Calibri" w:cs="Calibri"/>
          <w:sz w:val="24"/>
          <w:szCs w:val="24"/>
        </w:rPr>
        <w:t>e</w:t>
      </w:r>
      <w:r w:rsidR="009403A1" w:rsidRPr="009403A1">
        <w:rPr>
          <w:rFonts w:ascii="Calibri" w:hAnsi="Calibri" w:cs="Calibri"/>
          <w:sz w:val="24"/>
          <w:szCs w:val="24"/>
        </w:rPr>
        <w:t>.</w:t>
      </w:r>
      <w:r w:rsidR="001A14C1" w:rsidRPr="009403A1">
        <w:rPr>
          <w:rFonts w:ascii="Calibri" w:hAnsi="Calibri" w:cs="Calibri"/>
          <w:sz w:val="24"/>
          <w:szCs w:val="24"/>
        </w:rPr>
        <w:t xml:space="preserve"> date of termination of pregnancy, date of birth, date of stillbirth).</w:t>
      </w:r>
    </w:p>
    <w:p w:rsidR="00D67A32" w:rsidRPr="00A3472D" w:rsidRDefault="00D67A32" w:rsidP="00A3472D">
      <w:pPr>
        <w:spacing w:after="0" w:line="240" w:lineRule="auto"/>
        <w:rPr>
          <w:rFonts w:ascii="Calibri" w:hAnsi="Calibri" w:cs="Calibri"/>
          <w:sz w:val="24"/>
          <w:szCs w:val="24"/>
        </w:rPr>
      </w:pPr>
    </w:p>
    <w:p w:rsidR="000F5D4F" w:rsidRPr="00A3472D" w:rsidRDefault="000F5D4F" w:rsidP="00A3472D">
      <w:pPr>
        <w:spacing w:after="0" w:line="240" w:lineRule="auto"/>
        <w:rPr>
          <w:rFonts w:ascii="Calibri" w:hAnsi="Calibri" w:cs="Calibri"/>
          <w:sz w:val="24"/>
          <w:szCs w:val="24"/>
        </w:rPr>
      </w:pPr>
      <w:r w:rsidRPr="00A3472D">
        <w:rPr>
          <w:rFonts w:ascii="Calibri" w:hAnsi="Calibri" w:cs="Calibri"/>
          <w:sz w:val="24"/>
          <w:szCs w:val="24"/>
        </w:rPr>
        <w:t>There are three types of conditions that are reported to the Register:</w:t>
      </w:r>
    </w:p>
    <w:p w:rsidR="000F5D4F" w:rsidRPr="00A3472D" w:rsidRDefault="000F5D4F" w:rsidP="004C2CAE">
      <w:pPr>
        <w:pStyle w:val="ListParagraph"/>
        <w:numPr>
          <w:ilvl w:val="0"/>
          <w:numId w:val="17"/>
        </w:numPr>
        <w:spacing w:after="0" w:line="240" w:lineRule="auto"/>
        <w:ind w:left="426" w:hanging="426"/>
        <w:rPr>
          <w:rFonts w:ascii="Calibri" w:hAnsi="Calibri" w:cs="Calibri"/>
          <w:sz w:val="24"/>
          <w:szCs w:val="24"/>
        </w:rPr>
      </w:pPr>
      <w:r w:rsidRPr="00A3472D">
        <w:rPr>
          <w:rFonts w:ascii="Calibri" w:hAnsi="Calibri" w:cs="Calibri"/>
          <w:sz w:val="24"/>
          <w:szCs w:val="24"/>
        </w:rPr>
        <w:t>Conditions that affect the growth, development and health of the baby that are present before birth, such as cleft lip, dislocated hip and problems with the development of the heart, lungs or other organs</w:t>
      </w:r>
      <w:r w:rsidR="00062DFD">
        <w:rPr>
          <w:rFonts w:ascii="Calibri" w:hAnsi="Calibri" w:cs="Calibri"/>
          <w:sz w:val="24"/>
          <w:szCs w:val="24"/>
        </w:rPr>
        <w:t>;</w:t>
      </w:r>
    </w:p>
    <w:p w:rsidR="000F5D4F" w:rsidRPr="00A3472D" w:rsidRDefault="000F5D4F" w:rsidP="004C2CAE">
      <w:pPr>
        <w:pStyle w:val="ListParagraph"/>
        <w:numPr>
          <w:ilvl w:val="0"/>
          <w:numId w:val="17"/>
        </w:numPr>
        <w:spacing w:after="0" w:line="240" w:lineRule="auto"/>
        <w:ind w:left="426" w:hanging="426"/>
        <w:rPr>
          <w:rFonts w:ascii="Calibri" w:hAnsi="Calibri" w:cs="Calibri"/>
          <w:sz w:val="24"/>
          <w:szCs w:val="24"/>
        </w:rPr>
      </w:pPr>
      <w:r w:rsidRPr="00A3472D">
        <w:rPr>
          <w:rFonts w:ascii="Calibri" w:hAnsi="Calibri" w:cs="Calibri"/>
          <w:sz w:val="24"/>
          <w:szCs w:val="24"/>
        </w:rPr>
        <w:t>Conditions due to changes in the number of the baby’s chromosomes, such as Down Syndrome</w:t>
      </w:r>
      <w:r w:rsidR="00062DFD">
        <w:rPr>
          <w:rFonts w:ascii="Calibri" w:hAnsi="Calibri" w:cs="Calibri"/>
          <w:sz w:val="24"/>
          <w:szCs w:val="24"/>
        </w:rPr>
        <w:t>; and</w:t>
      </w:r>
    </w:p>
    <w:p w:rsidR="000F5D4F" w:rsidRPr="00A3472D" w:rsidRDefault="000F5D4F" w:rsidP="004C2CAE">
      <w:pPr>
        <w:pStyle w:val="ListParagraph"/>
        <w:numPr>
          <w:ilvl w:val="0"/>
          <w:numId w:val="17"/>
        </w:numPr>
        <w:spacing w:after="0" w:line="240" w:lineRule="auto"/>
        <w:ind w:left="426" w:hanging="426"/>
        <w:rPr>
          <w:rFonts w:ascii="Calibri" w:hAnsi="Calibri" w:cs="Calibri"/>
          <w:sz w:val="24"/>
          <w:szCs w:val="24"/>
        </w:rPr>
      </w:pPr>
      <w:r w:rsidRPr="00A3472D">
        <w:rPr>
          <w:rFonts w:ascii="Calibri" w:hAnsi="Calibri" w:cs="Calibri"/>
          <w:sz w:val="24"/>
          <w:szCs w:val="24"/>
        </w:rPr>
        <w:t>Four conditions due to changes in the baby’s inherited genetic information: cystic fibrosis, phenylketonuria, congenital hypothyroidism and thalass</w:t>
      </w:r>
      <w:r w:rsidR="00C14CA2">
        <w:rPr>
          <w:rFonts w:ascii="Calibri" w:hAnsi="Calibri" w:cs="Calibri"/>
          <w:sz w:val="24"/>
          <w:szCs w:val="24"/>
        </w:rPr>
        <w:t>a</w:t>
      </w:r>
      <w:r w:rsidRPr="00A3472D">
        <w:rPr>
          <w:rFonts w:ascii="Calibri" w:hAnsi="Calibri" w:cs="Calibri"/>
          <w:sz w:val="24"/>
          <w:szCs w:val="24"/>
        </w:rPr>
        <w:t>emia major.</w:t>
      </w:r>
    </w:p>
    <w:p w:rsidR="000F5D4F" w:rsidRPr="00A3472D" w:rsidRDefault="000F5D4F" w:rsidP="00A3472D">
      <w:pPr>
        <w:spacing w:after="0" w:line="240" w:lineRule="auto"/>
        <w:rPr>
          <w:rFonts w:ascii="Calibri" w:hAnsi="Calibri" w:cs="Calibri"/>
          <w:sz w:val="24"/>
          <w:szCs w:val="24"/>
        </w:rPr>
      </w:pPr>
    </w:p>
    <w:p w:rsidR="003F4A67" w:rsidRDefault="000F5D4F" w:rsidP="004C2CAE">
      <w:pPr>
        <w:spacing w:after="0" w:line="240" w:lineRule="auto"/>
        <w:rPr>
          <w:rFonts w:ascii="Calibri" w:hAnsi="Calibri" w:cs="Calibri"/>
          <w:sz w:val="24"/>
          <w:szCs w:val="24"/>
        </w:rPr>
      </w:pPr>
      <w:r w:rsidRPr="00A3472D">
        <w:rPr>
          <w:rFonts w:ascii="Calibri" w:hAnsi="Calibri" w:cs="Calibri"/>
          <w:sz w:val="24"/>
          <w:szCs w:val="24"/>
        </w:rPr>
        <w:t>F</w:t>
      </w:r>
      <w:r w:rsidR="00D67A32" w:rsidRPr="00A3472D">
        <w:rPr>
          <w:rFonts w:ascii="Calibri" w:hAnsi="Calibri" w:cs="Calibri"/>
          <w:sz w:val="24"/>
          <w:szCs w:val="24"/>
        </w:rPr>
        <w:t xml:space="preserve">unctional </w:t>
      </w:r>
      <w:r w:rsidRPr="00A3472D">
        <w:rPr>
          <w:rFonts w:ascii="Calibri" w:hAnsi="Calibri" w:cs="Calibri"/>
          <w:sz w:val="24"/>
          <w:szCs w:val="24"/>
        </w:rPr>
        <w:t>conditions</w:t>
      </w:r>
      <w:r w:rsidR="00D67A32" w:rsidRPr="00A3472D">
        <w:rPr>
          <w:rFonts w:ascii="Calibri" w:hAnsi="Calibri" w:cs="Calibri"/>
          <w:sz w:val="24"/>
          <w:szCs w:val="24"/>
        </w:rPr>
        <w:t xml:space="preserve"> such as deafness and blindness</w:t>
      </w:r>
      <w:r w:rsidRPr="00A3472D">
        <w:rPr>
          <w:rFonts w:ascii="Calibri" w:hAnsi="Calibri" w:cs="Calibri"/>
          <w:sz w:val="24"/>
          <w:szCs w:val="24"/>
        </w:rPr>
        <w:t xml:space="preserve"> are not captured in the RoCC</w:t>
      </w:r>
      <w:r w:rsidR="00D67A32" w:rsidRPr="00A3472D">
        <w:rPr>
          <w:rFonts w:ascii="Calibri" w:hAnsi="Calibri" w:cs="Calibri"/>
          <w:sz w:val="24"/>
          <w:szCs w:val="24"/>
        </w:rPr>
        <w:t>.</w:t>
      </w:r>
      <w:r w:rsidR="003F4A67">
        <w:rPr>
          <w:rFonts w:ascii="Calibri" w:hAnsi="Calibri" w:cs="Calibri"/>
          <w:sz w:val="24"/>
          <w:szCs w:val="24"/>
        </w:rPr>
        <w:t xml:space="preserve">  </w:t>
      </w:r>
    </w:p>
    <w:p w:rsidR="00D67A32" w:rsidRDefault="003F4A67" w:rsidP="004C2CAE">
      <w:pPr>
        <w:spacing w:after="0" w:line="240" w:lineRule="auto"/>
        <w:rPr>
          <w:rFonts w:ascii="Calibri" w:hAnsi="Calibri" w:cs="Calibri"/>
          <w:sz w:val="24"/>
          <w:szCs w:val="24"/>
        </w:rPr>
      </w:pPr>
      <w:r>
        <w:rPr>
          <w:rFonts w:ascii="Calibri" w:hAnsi="Calibri"/>
          <w:sz w:val="24"/>
          <w:szCs w:val="24"/>
        </w:rPr>
        <w:t xml:space="preserve">There is evidence that terminations of pregnancy </w:t>
      </w:r>
      <w:r w:rsidR="00013E1A">
        <w:rPr>
          <w:rFonts w:ascii="Calibri" w:hAnsi="Calibri"/>
          <w:sz w:val="24"/>
          <w:szCs w:val="24"/>
        </w:rPr>
        <w:t>where a congenital condition</w:t>
      </w:r>
      <w:r>
        <w:rPr>
          <w:rFonts w:ascii="Calibri" w:hAnsi="Calibri"/>
          <w:sz w:val="24"/>
          <w:szCs w:val="24"/>
        </w:rPr>
        <w:t xml:space="preserve"> </w:t>
      </w:r>
      <w:r w:rsidR="00013E1A">
        <w:rPr>
          <w:rFonts w:ascii="Calibri" w:hAnsi="Calibri"/>
          <w:sz w:val="24"/>
          <w:szCs w:val="24"/>
        </w:rPr>
        <w:t xml:space="preserve">is present </w:t>
      </w:r>
      <w:r>
        <w:rPr>
          <w:rFonts w:ascii="Calibri" w:hAnsi="Calibri"/>
          <w:sz w:val="24"/>
          <w:szCs w:val="24"/>
        </w:rPr>
        <w:t xml:space="preserve">are under-reported to the RoCC.  </w:t>
      </w:r>
    </w:p>
    <w:p w:rsidR="00D67A32" w:rsidRPr="004C2CAE" w:rsidRDefault="00D67A32" w:rsidP="004C2CAE">
      <w:pPr>
        <w:spacing w:after="0" w:line="240" w:lineRule="auto"/>
        <w:rPr>
          <w:rFonts w:ascii="Calibri" w:hAnsi="Calibri" w:cs="Calibri"/>
          <w:sz w:val="24"/>
          <w:szCs w:val="24"/>
        </w:rPr>
      </w:pPr>
    </w:p>
    <w:p w:rsidR="007E5895" w:rsidRPr="004C2CAE" w:rsidRDefault="00D67A32" w:rsidP="004C2CAE">
      <w:pPr>
        <w:spacing w:after="0" w:line="240" w:lineRule="auto"/>
      </w:pPr>
      <w:r w:rsidRPr="004C2CAE">
        <w:rPr>
          <w:rFonts w:ascii="Calibri" w:hAnsi="Calibri" w:cs="Calibri"/>
          <w:sz w:val="24"/>
          <w:szCs w:val="24"/>
        </w:rPr>
        <w:t xml:space="preserve">Information from the </w:t>
      </w:r>
      <w:r w:rsidR="00A3472D" w:rsidRPr="004C2CAE">
        <w:rPr>
          <w:rFonts w:ascii="Calibri" w:hAnsi="Calibri" w:cs="Calibri"/>
          <w:sz w:val="24"/>
          <w:szCs w:val="24"/>
        </w:rPr>
        <w:t>RoCC</w:t>
      </w:r>
      <w:r w:rsidRPr="004C2CAE">
        <w:rPr>
          <w:rFonts w:ascii="Calibri" w:hAnsi="Calibri" w:cs="Calibri"/>
          <w:sz w:val="24"/>
          <w:szCs w:val="24"/>
        </w:rPr>
        <w:t xml:space="preserve"> is published by the NSW </w:t>
      </w:r>
      <w:r w:rsidR="00665E92">
        <w:rPr>
          <w:rFonts w:ascii="Calibri" w:hAnsi="Calibri" w:cs="Calibri"/>
          <w:sz w:val="24"/>
          <w:szCs w:val="24"/>
        </w:rPr>
        <w:t>Ministry</w:t>
      </w:r>
      <w:r w:rsidRPr="004C2CAE">
        <w:rPr>
          <w:rFonts w:ascii="Calibri" w:hAnsi="Calibri" w:cs="Calibri"/>
          <w:sz w:val="24"/>
          <w:szCs w:val="24"/>
        </w:rPr>
        <w:t xml:space="preserve"> of Health in the annual</w:t>
      </w:r>
      <w:r w:rsidR="00A3472D" w:rsidRPr="004C2CAE">
        <w:rPr>
          <w:rFonts w:ascii="Calibri" w:hAnsi="Calibri" w:cs="Calibri"/>
          <w:sz w:val="24"/>
          <w:szCs w:val="24"/>
        </w:rPr>
        <w:t xml:space="preserve"> </w:t>
      </w:r>
      <w:r w:rsidRPr="004C2CAE">
        <w:rPr>
          <w:rFonts w:ascii="Calibri" w:hAnsi="Calibri" w:cs="Calibri"/>
          <w:i/>
          <w:iCs/>
          <w:sz w:val="24"/>
          <w:szCs w:val="24"/>
        </w:rPr>
        <w:t>NSW</w:t>
      </w:r>
      <w:r w:rsidR="00A3472D" w:rsidRPr="004C2CAE">
        <w:rPr>
          <w:rFonts w:ascii="Calibri" w:hAnsi="Calibri" w:cs="Calibri"/>
          <w:i/>
          <w:iCs/>
          <w:sz w:val="24"/>
          <w:szCs w:val="24"/>
        </w:rPr>
        <w:t xml:space="preserve"> </w:t>
      </w:r>
      <w:r w:rsidRPr="004C2CAE">
        <w:rPr>
          <w:rFonts w:ascii="Calibri" w:hAnsi="Calibri" w:cs="Calibri"/>
          <w:i/>
          <w:iCs/>
          <w:sz w:val="24"/>
          <w:szCs w:val="24"/>
        </w:rPr>
        <w:t xml:space="preserve">Mothers and Babies Report, </w:t>
      </w:r>
      <w:r w:rsidRPr="004C2CAE">
        <w:rPr>
          <w:rFonts w:ascii="Calibri" w:hAnsi="Calibri" w:cs="Calibri"/>
          <w:sz w:val="24"/>
          <w:szCs w:val="24"/>
        </w:rPr>
        <w:t>which can be fo</w:t>
      </w:r>
      <w:r w:rsidR="0038007A" w:rsidRPr="004C2CAE">
        <w:rPr>
          <w:rFonts w:ascii="Calibri" w:hAnsi="Calibri" w:cs="Calibri"/>
          <w:sz w:val="24"/>
          <w:szCs w:val="24"/>
        </w:rPr>
        <w:t>u</w:t>
      </w:r>
      <w:r w:rsidRPr="004C2CAE">
        <w:rPr>
          <w:rFonts w:ascii="Calibri" w:hAnsi="Calibri" w:cs="Calibri"/>
          <w:sz w:val="24"/>
          <w:szCs w:val="24"/>
        </w:rPr>
        <w:t xml:space="preserve">nd on the </w:t>
      </w:r>
      <w:r w:rsidR="00665E92">
        <w:rPr>
          <w:rFonts w:ascii="Calibri" w:hAnsi="Calibri" w:cs="Calibri"/>
          <w:sz w:val="24"/>
          <w:szCs w:val="24"/>
        </w:rPr>
        <w:t>Ministry</w:t>
      </w:r>
      <w:r w:rsidRPr="004C2CAE">
        <w:rPr>
          <w:rFonts w:ascii="Calibri" w:hAnsi="Calibri" w:cs="Calibri"/>
          <w:sz w:val="24"/>
          <w:szCs w:val="24"/>
        </w:rPr>
        <w:t xml:space="preserve"> of Health website at</w:t>
      </w:r>
      <w:r w:rsidR="00A3472D" w:rsidRPr="004C2CAE">
        <w:rPr>
          <w:rFonts w:ascii="Calibri" w:hAnsi="Calibri" w:cs="Calibri"/>
          <w:i/>
          <w:iCs/>
          <w:sz w:val="24"/>
          <w:szCs w:val="24"/>
        </w:rPr>
        <w:t xml:space="preserve"> </w:t>
      </w:r>
      <w:hyperlink r:id="rId10" w:history="1">
        <w:r w:rsidR="00E80F8C" w:rsidRPr="005B3E43">
          <w:rPr>
            <w:rStyle w:val="Hyperlink"/>
            <w:rFonts w:ascii="Calibri" w:hAnsi="Calibri" w:cs="Calibri"/>
            <w:sz w:val="24"/>
            <w:szCs w:val="24"/>
          </w:rPr>
          <w:t>http://www.health.nsw.gov.au/hsnsw/Pages/mothers-and-babies-reports.aspx</w:t>
        </w:r>
      </w:hyperlink>
      <w:r w:rsidR="00E80F8C">
        <w:rPr>
          <w:rFonts w:ascii="Calibri" w:hAnsi="Calibri" w:cs="Calibri"/>
          <w:sz w:val="24"/>
          <w:szCs w:val="24"/>
        </w:rPr>
        <w:t>.</w:t>
      </w:r>
    </w:p>
    <w:p w:rsidR="004C2CAE" w:rsidRPr="004C2CAE" w:rsidRDefault="004C2CAE" w:rsidP="004C2CAE">
      <w:pPr>
        <w:spacing w:after="0" w:line="240" w:lineRule="auto"/>
      </w:pPr>
    </w:p>
    <w:p w:rsidR="004C2CAE" w:rsidRDefault="004C2CAE" w:rsidP="004C2CAE">
      <w:pPr>
        <w:spacing w:after="0" w:line="240" w:lineRule="auto"/>
        <w:rPr>
          <w:rFonts w:ascii="Calibri" w:hAnsi="Calibri" w:cs="Arial"/>
          <w:sz w:val="24"/>
          <w:szCs w:val="24"/>
        </w:rPr>
      </w:pPr>
      <w:r w:rsidRPr="004C2CAE">
        <w:rPr>
          <w:rFonts w:ascii="Calibri" w:hAnsi="Calibri" w:cs="Arial"/>
          <w:sz w:val="24"/>
          <w:szCs w:val="24"/>
        </w:rPr>
        <w:t>Congenital conditions are coded using the British Paediatric Association Classification of Diseases: Modified Classification for NSW Register of Congenital Conditions. Where necessary, consultation should be undertaken with RoCC staff to determine the optimal disease codes to capture the condition in question</w:t>
      </w:r>
      <w:r>
        <w:rPr>
          <w:rFonts w:ascii="Calibri" w:hAnsi="Calibri" w:cs="Arial"/>
          <w:sz w:val="24"/>
          <w:szCs w:val="24"/>
        </w:rPr>
        <w:t>.</w:t>
      </w:r>
    </w:p>
    <w:p w:rsidR="004C2CAE" w:rsidRPr="004C2CAE" w:rsidRDefault="004C2CAE" w:rsidP="00DD3073">
      <w:pPr>
        <w:pStyle w:val="Heading1"/>
      </w:pPr>
      <w:r w:rsidRPr="004C2CAE">
        <w:t>Access to information on Aboriginal and Torres Strait Islander peoples</w:t>
      </w:r>
    </w:p>
    <w:p w:rsidR="004C2CAE" w:rsidRPr="00FE50EA" w:rsidRDefault="004C2CAE" w:rsidP="004C2CAE">
      <w:pPr>
        <w:pStyle w:val="BodyTextIndent3"/>
        <w:spacing w:after="0"/>
        <w:ind w:left="0"/>
        <w:rPr>
          <w:rFonts w:ascii="Calibri" w:hAnsi="Calibri"/>
          <w:sz w:val="24"/>
          <w:szCs w:val="24"/>
        </w:rPr>
      </w:pPr>
      <w:r>
        <w:rPr>
          <w:rFonts w:ascii="Calibri" w:hAnsi="Calibri"/>
          <w:sz w:val="24"/>
          <w:szCs w:val="24"/>
        </w:rPr>
        <w:t xml:space="preserve">An application to the Aboriginal Health and Medical Research Council (AH&amp;MRC) ethics committee should be made for research projects for which </w:t>
      </w:r>
      <w:r w:rsidRPr="007B3701">
        <w:rPr>
          <w:rFonts w:ascii="Calibri" w:hAnsi="Calibri"/>
          <w:sz w:val="24"/>
          <w:szCs w:val="24"/>
        </w:rPr>
        <w:t>one or more of the following apply:</w:t>
      </w:r>
    </w:p>
    <w:p w:rsidR="004C2CAE" w:rsidRPr="00FE50EA" w:rsidRDefault="004C2CAE" w:rsidP="00C614BE">
      <w:pPr>
        <w:pStyle w:val="ListParagraph"/>
        <w:numPr>
          <w:ilvl w:val="0"/>
          <w:numId w:val="22"/>
        </w:numPr>
        <w:tabs>
          <w:tab w:val="clear" w:pos="1080"/>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The experience of Aboriginal people is an explicit focus of all or part of the research</w:t>
      </w:r>
    </w:p>
    <w:p w:rsidR="004C2CAE" w:rsidRPr="00FE50EA" w:rsidRDefault="004C2CAE" w:rsidP="00C614BE">
      <w:pPr>
        <w:pStyle w:val="ListParagraph"/>
        <w:numPr>
          <w:ilvl w:val="0"/>
          <w:numId w:val="22"/>
        </w:numPr>
        <w:tabs>
          <w:tab w:val="clear" w:pos="1080"/>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lastRenderedPageBreak/>
        <w:t>Data collection is explicitly directed at Aboriginal peoples</w:t>
      </w:r>
    </w:p>
    <w:p w:rsidR="004C2CAE" w:rsidRPr="00FE50EA" w:rsidRDefault="004C2CAE" w:rsidP="00C614BE">
      <w:pPr>
        <w:pStyle w:val="ListParagraph"/>
        <w:numPr>
          <w:ilvl w:val="0"/>
          <w:numId w:val="22"/>
        </w:numPr>
        <w:tabs>
          <w:tab w:val="clear" w:pos="1080"/>
          <w:tab w:val="num" w:pos="426"/>
        </w:tabs>
        <w:autoSpaceDE w:val="0"/>
        <w:autoSpaceDN w:val="0"/>
        <w:adjustRightInd w:val="0"/>
        <w:spacing w:after="0" w:line="240" w:lineRule="auto"/>
        <w:ind w:left="426" w:hanging="426"/>
        <w:rPr>
          <w:rFonts w:ascii="Calibri" w:hAnsi="Calibri" w:cs="Arial"/>
          <w:sz w:val="24"/>
          <w:szCs w:val="24"/>
          <w:lang w:eastAsia="zh-CN"/>
        </w:rPr>
      </w:pPr>
      <w:r w:rsidRPr="007B3701">
        <w:rPr>
          <w:rFonts w:ascii="Calibri" w:hAnsi="Calibri" w:cs="Arial"/>
          <w:sz w:val="24"/>
          <w:szCs w:val="24"/>
          <w:lang w:eastAsia="zh-CN"/>
        </w:rPr>
        <w:t>Aboriginal peoples, as a group, are to be examined in the results</w:t>
      </w:r>
    </w:p>
    <w:p w:rsidR="004C2CAE" w:rsidRPr="00EC544B" w:rsidRDefault="004C2CAE" w:rsidP="00C614BE">
      <w:pPr>
        <w:pStyle w:val="ListParagraph"/>
        <w:numPr>
          <w:ilvl w:val="0"/>
          <w:numId w:val="22"/>
        </w:numPr>
        <w:tabs>
          <w:tab w:val="clear" w:pos="1080"/>
          <w:tab w:val="num" w:pos="426"/>
        </w:tabs>
        <w:autoSpaceDE w:val="0"/>
        <w:autoSpaceDN w:val="0"/>
        <w:adjustRightInd w:val="0"/>
        <w:spacing w:after="0" w:line="240" w:lineRule="auto"/>
        <w:ind w:left="426" w:hanging="426"/>
        <w:rPr>
          <w:rFonts w:ascii="Calibri" w:hAnsi="Calibri" w:cs="Arial"/>
          <w:sz w:val="24"/>
          <w:szCs w:val="24"/>
          <w:lang w:eastAsia="zh-CN"/>
        </w:rPr>
      </w:pPr>
      <w:r w:rsidRPr="00EC544B">
        <w:rPr>
          <w:rFonts w:ascii="Calibri" w:hAnsi="Calibri" w:cs="Arial"/>
          <w:sz w:val="24"/>
          <w:szCs w:val="24"/>
          <w:lang w:eastAsia="zh-CN"/>
        </w:rPr>
        <w:t>The information has an impact on one or more Aboriginal communities</w:t>
      </w:r>
    </w:p>
    <w:p w:rsidR="004C2CAE" w:rsidRPr="00EC544B" w:rsidRDefault="004C2CAE" w:rsidP="00C614BE">
      <w:pPr>
        <w:pStyle w:val="ListParagraph"/>
        <w:numPr>
          <w:ilvl w:val="0"/>
          <w:numId w:val="22"/>
        </w:numPr>
        <w:tabs>
          <w:tab w:val="clear" w:pos="1080"/>
          <w:tab w:val="num" w:pos="426"/>
        </w:tabs>
        <w:autoSpaceDE w:val="0"/>
        <w:autoSpaceDN w:val="0"/>
        <w:adjustRightInd w:val="0"/>
        <w:spacing w:after="0" w:line="240" w:lineRule="auto"/>
        <w:ind w:left="426" w:hanging="426"/>
        <w:rPr>
          <w:rFonts w:ascii="Calibri" w:hAnsi="Calibri" w:cs="Arial"/>
          <w:sz w:val="24"/>
          <w:szCs w:val="24"/>
        </w:rPr>
      </w:pPr>
      <w:r w:rsidRPr="00EC544B">
        <w:rPr>
          <w:rFonts w:ascii="Calibri" w:hAnsi="Calibri" w:cs="Arial"/>
          <w:sz w:val="24"/>
          <w:szCs w:val="24"/>
          <w:lang w:eastAsia="zh-CN"/>
        </w:rPr>
        <w:t>Aboriginal health funds are a source of funding</w:t>
      </w:r>
    </w:p>
    <w:p w:rsidR="004C2CAE" w:rsidRDefault="004C2CAE" w:rsidP="004C2CAE">
      <w:pPr>
        <w:spacing w:after="0" w:line="240" w:lineRule="auto"/>
        <w:rPr>
          <w:rFonts w:ascii="Calibri" w:eastAsia="Times New Roman" w:hAnsi="Calibri" w:cs="Arial"/>
          <w:sz w:val="24"/>
          <w:szCs w:val="24"/>
        </w:rPr>
      </w:pPr>
    </w:p>
    <w:p w:rsidR="004C2CAE" w:rsidRDefault="004C2CAE" w:rsidP="004C2CAE">
      <w:pPr>
        <w:spacing w:after="0" w:line="240" w:lineRule="auto"/>
        <w:rPr>
          <w:rFonts w:ascii="Calibri" w:eastAsia="Times New Roman" w:hAnsi="Calibri" w:cs="Arial"/>
          <w:sz w:val="24"/>
          <w:szCs w:val="24"/>
        </w:rPr>
      </w:pPr>
      <w:r w:rsidRPr="00EC544B">
        <w:rPr>
          <w:rFonts w:ascii="Calibri" w:eastAsia="Times New Roman" w:hAnsi="Calibri" w:cs="Arial"/>
          <w:sz w:val="24"/>
          <w:szCs w:val="24"/>
        </w:rPr>
        <w:t xml:space="preserve">Research that is not specifically directed at Aboriginal people or communities, such as for the total population or a sub-population (eg. rural NSW, people over 50 years old) can still potentially impact on Aboriginal people. </w:t>
      </w:r>
    </w:p>
    <w:p w:rsidR="004C2CAE" w:rsidRPr="00EC544B" w:rsidRDefault="004C2CAE" w:rsidP="004C2CAE">
      <w:pPr>
        <w:spacing w:after="0" w:line="240" w:lineRule="auto"/>
        <w:rPr>
          <w:rFonts w:ascii="Calibri" w:eastAsia="Times New Roman" w:hAnsi="Calibri" w:cs="Arial"/>
          <w:sz w:val="24"/>
          <w:szCs w:val="24"/>
        </w:rPr>
      </w:pPr>
    </w:p>
    <w:p w:rsidR="004C2CAE" w:rsidRPr="00EC544B" w:rsidRDefault="004C2CAE" w:rsidP="004C2CAE">
      <w:pPr>
        <w:spacing w:after="0" w:line="240" w:lineRule="auto"/>
        <w:rPr>
          <w:rFonts w:ascii="Calibri" w:eastAsia="Times New Roman" w:hAnsi="Calibri" w:cs="Arial"/>
          <w:sz w:val="24"/>
          <w:szCs w:val="24"/>
        </w:rPr>
      </w:pPr>
      <w:r w:rsidRPr="00EC544B">
        <w:rPr>
          <w:rFonts w:ascii="Calibri" w:eastAsia="Times New Roman" w:hAnsi="Calibri" w:cs="Arial"/>
          <w:sz w:val="24"/>
          <w:szCs w:val="24"/>
        </w:rPr>
        <w:t xml:space="preserve">However, an application for such research need only be made to the Committee if </w:t>
      </w:r>
      <w:r w:rsidRPr="00EC544B">
        <w:rPr>
          <w:rFonts w:ascii="Calibri" w:eastAsia="Times New Roman" w:hAnsi="Calibri" w:cs="Arial"/>
          <w:i/>
          <w:iCs/>
          <w:sz w:val="24"/>
          <w:szCs w:val="24"/>
          <w:u w:val="single"/>
        </w:rPr>
        <w:t>any</w:t>
      </w:r>
      <w:r w:rsidRPr="00EC544B">
        <w:rPr>
          <w:rFonts w:ascii="Calibri" w:eastAsia="Times New Roman" w:hAnsi="Calibri" w:cs="Arial"/>
          <w:sz w:val="24"/>
          <w:szCs w:val="24"/>
        </w:rPr>
        <w:t xml:space="preserve"> one of the following applies:</w:t>
      </w:r>
    </w:p>
    <w:p w:rsidR="004C2CAE" w:rsidRPr="00EC544B" w:rsidRDefault="004C2CAE" w:rsidP="00C614BE">
      <w:pPr>
        <w:numPr>
          <w:ilvl w:val="0"/>
          <w:numId w:val="21"/>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Any of the five factors listed above are present; </w:t>
      </w:r>
      <w:r w:rsidRPr="00EC544B">
        <w:rPr>
          <w:rFonts w:ascii="Calibri" w:eastAsia="Times New Roman" w:hAnsi="Calibri" w:cs="Arial"/>
          <w:sz w:val="24"/>
          <w:szCs w:val="24"/>
          <w:u w:val="single"/>
        </w:rPr>
        <w:t>or</w:t>
      </w:r>
    </w:p>
    <w:p w:rsidR="004C2CAE" w:rsidRPr="00EC544B" w:rsidRDefault="004C2CAE" w:rsidP="00C614BE">
      <w:pPr>
        <w:numPr>
          <w:ilvl w:val="0"/>
          <w:numId w:val="21"/>
        </w:numPr>
        <w:tabs>
          <w:tab w:val="clear" w:pos="720"/>
          <w:tab w:val="num" w:pos="426"/>
        </w:tabs>
        <w:spacing w:after="0"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Aboriginal people are known, or are likely, to be significantly over-represented in the group being studied (eg. compared to the 2.1% of the total NSW population as shown in the 2006 Census); </w:t>
      </w:r>
      <w:r w:rsidRPr="00EC544B">
        <w:rPr>
          <w:rFonts w:ascii="Calibri" w:eastAsia="Times New Roman" w:hAnsi="Calibri" w:cs="Arial"/>
          <w:sz w:val="24"/>
          <w:szCs w:val="24"/>
          <w:u w:val="single"/>
        </w:rPr>
        <w:t>or</w:t>
      </w:r>
    </w:p>
    <w:p w:rsidR="004C2CAE" w:rsidRPr="00EC544B" w:rsidRDefault="004C2CAE" w:rsidP="00C614BE">
      <w:pPr>
        <w:numPr>
          <w:ilvl w:val="0"/>
          <w:numId w:val="21"/>
        </w:numPr>
        <w:tabs>
          <w:tab w:val="clear" w:pos="720"/>
          <w:tab w:val="num" w:pos="426"/>
        </w:tabs>
        <w:spacing w:before="100" w:beforeAutospacing="1" w:after="100" w:afterAutospacing="1"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The Aboriginal experience of the medical condition being studied is known, or is likely, to be different from the overall population; </w:t>
      </w:r>
      <w:r w:rsidRPr="00EC544B">
        <w:rPr>
          <w:rFonts w:ascii="Calibri" w:eastAsia="Times New Roman" w:hAnsi="Calibri" w:cs="Arial"/>
          <w:sz w:val="24"/>
          <w:szCs w:val="24"/>
          <w:u w:val="single"/>
        </w:rPr>
        <w:t>or</w:t>
      </w:r>
    </w:p>
    <w:p w:rsidR="004C2CAE" w:rsidRPr="00EC544B" w:rsidRDefault="004C2CAE" w:rsidP="00C614BE">
      <w:pPr>
        <w:numPr>
          <w:ilvl w:val="0"/>
          <w:numId w:val="21"/>
        </w:numPr>
        <w:tabs>
          <w:tab w:val="clear" w:pos="720"/>
          <w:tab w:val="num" w:pos="426"/>
        </w:tabs>
        <w:spacing w:before="100" w:beforeAutospacing="1" w:after="100" w:afterAutospacing="1"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 xml:space="preserve">There are Aboriginal people who use the services being studied in distinctive ways, or who have distinctive barriers that limit their access to the services; </w:t>
      </w:r>
      <w:r w:rsidRPr="00EC544B">
        <w:rPr>
          <w:rFonts w:ascii="Calibri" w:eastAsia="Times New Roman" w:hAnsi="Calibri" w:cs="Arial"/>
          <w:sz w:val="24"/>
          <w:szCs w:val="24"/>
          <w:u w:val="single"/>
        </w:rPr>
        <w:t>or</w:t>
      </w:r>
      <w:r w:rsidRPr="00EC544B">
        <w:rPr>
          <w:rFonts w:ascii="Calibri" w:eastAsia="Times New Roman" w:hAnsi="Calibri" w:cs="Arial"/>
          <w:sz w:val="24"/>
          <w:szCs w:val="24"/>
        </w:rPr>
        <w:t xml:space="preserve">  </w:t>
      </w:r>
    </w:p>
    <w:p w:rsidR="004C2CAE" w:rsidRPr="00EC544B" w:rsidRDefault="004C2CAE" w:rsidP="00C614BE">
      <w:pPr>
        <w:numPr>
          <w:ilvl w:val="0"/>
          <w:numId w:val="21"/>
        </w:numPr>
        <w:tabs>
          <w:tab w:val="clear" w:pos="720"/>
          <w:tab w:val="num" w:pos="426"/>
        </w:tabs>
        <w:spacing w:before="100" w:beforeAutospacing="1" w:after="100" w:afterAutospacing="1" w:line="240" w:lineRule="auto"/>
        <w:ind w:left="426" w:hanging="426"/>
        <w:rPr>
          <w:rFonts w:ascii="Calibri" w:eastAsia="Times New Roman" w:hAnsi="Calibri" w:cs="Arial"/>
          <w:sz w:val="24"/>
          <w:szCs w:val="24"/>
        </w:rPr>
      </w:pPr>
      <w:r w:rsidRPr="00EC544B">
        <w:rPr>
          <w:rFonts w:ascii="Calibri" w:eastAsia="Times New Roman" w:hAnsi="Calibri" w:cs="Arial"/>
          <w:sz w:val="24"/>
          <w:szCs w:val="24"/>
        </w:rPr>
        <w:t>It is proposed to separately identify data relating to Aboriginal people in the results.</w:t>
      </w:r>
    </w:p>
    <w:p w:rsidR="00A3472D" w:rsidRDefault="004C2CAE" w:rsidP="005505E3">
      <w:pPr>
        <w:pStyle w:val="BodyTextIndent3"/>
        <w:spacing w:before="120"/>
        <w:ind w:left="0"/>
        <w:rPr>
          <w:rFonts w:ascii="Calibri" w:hAnsi="Calibri"/>
          <w:color w:val="000000" w:themeColor="text1"/>
          <w:sz w:val="24"/>
          <w:szCs w:val="24"/>
        </w:rPr>
      </w:pPr>
      <w:r w:rsidRPr="007B3701">
        <w:rPr>
          <w:rFonts w:ascii="Calibri" w:hAnsi="Calibri"/>
          <w:sz w:val="24"/>
          <w:szCs w:val="24"/>
        </w:rPr>
        <w:t>The AH</w:t>
      </w:r>
      <w:r>
        <w:rPr>
          <w:rFonts w:ascii="Calibri" w:hAnsi="Calibri"/>
          <w:sz w:val="24"/>
          <w:szCs w:val="24"/>
        </w:rPr>
        <w:t>&amp;</w:t>
      </w:r>
      <w:r w:rsidRPr="007B3701">
        <w:rPr>
          <w:rFonts w:ascii="Calibri" w:hAnsi="Calibri"/>
          <w:sz w:val="24"/>
          <w:szCs w:val="24"/>
        </w:rPr>
        <w:t xml:space="preserve">MRC ethics committee have some </w:t>
      </w:r>
      <w:r>
        <w:rPr>
          <w:rFonts w:ascii="Calibri" w:hAnsi="Calibri"/>
          <w:sz w:val="24"/>
          <w:szCs w:val="24"/>
        </w:rPr>
        <w:t>specific</w:t>
      </w:r>
      <w:r w:rsidRPr="007B3701">
        <w:rPr>
          <w:rFonts w:ascii="Calibri" w:hAnsi="Calibri"/>
          <w:sz w:val="24"/>
          <w:szCs w:val="24"/>
        </w:rPr>
        <w:t xml:space="preserve"> requirements, including evidence of community engagement in the research. Relevant documents can be found on the</w:t>
      </w:r>
      <w:r>
        <w:rPr>
          <w:rFonts w:ascii="Calibri" w:hAnsi="Calibri"/>
          <w:sz w:val="24"/>
          <w:szCs w:val="24"/>
        </w:rPr>
        <w:t xml:space="preserve"> AH&amp;MRC</w:t>
      </w:r>
      <w:r w:rsidRPr="007B3701">
        <w:rPr>
          <w:rFonts w:ascii="Calibri" w:hAnsi="Calibri"/>
          <w:sz w:val="24"/>
          <w:szCs w:val="24"/>
        </w:rPr>
        <w:t xml:space="preserve"> website at: </w:t>
      </w:r>
      <w:hyperlink r:id="rId11" w:history="1">
        <w:r w:rsidRPr="00E80F8C">
          <w:rPr>
            <w:rStyle w:val="Hyperlink"/>
            <w:rFonts w:ascii="Calibri" w:eastAsiaTheme="minorEastAsia" w:hAnsi="Calibri" w:cstheme="minorBidi"/>
            <w:sz w:val="24"/>
            <w:szCs w:val="24"/>
          </w:rPr>
          <w:t>http://www.ahmrc.org.au</w:t>
        </w:r>
      </w:hyperlink>
      <w:r w:rsidRPr="007B3701">
        <w:rPr>
          <w:rFonts w:ascii="Calibri" w:hAnsi="Calibri"/>
          <w:sz w:val="24"/>
          <w:szCs w:val="24"/>
        </w:rPr>
        <w:t>.</w:t>
      </w:r>
      <w:r w:rsidR="00846B95">
        <w:rPr>
          <w:rFonts w:ascii="Calibri" w:hAnsi="Calibri"/>
          <w:sz w:val="24"/>
          <w:szCs w:val="24"/>
        </w:rPr>
        <w:t xml:space="preserve">  </w:t>
      </w:r>
      <w:r w:rsidR="00846B95">
        <w:rPr>
          <w:rFonts w:ascii="Calibri" w:hAnsi="Calibri"/>
          <w:color w:val="000000" w:themeColor="text1"/>
          <w:sz w:val="24"/>
          <w:szCs w:val="24"/>
        </w:rPr>
        <w:t>If you are unsure whether an application to the AH&amp;MRC Ethics Committee is required, please seek the advice of the Ethics Committee secretariat (T: 02 9212 4777).</w:t>
      </w:r>
    </w:p>
    <w:p w:rsidR="00FD34CA" w:rsidRPr="000A7E86" w:rsidRDefault="00FD34CA" w:rsidP="00DD3073">
      <w:pPr>
        <w:pStyle w:val="Heading1"/>
      </w:pPr>
      <w:r w:rsidRPr="000A7E86">
        <w:t xml:space="preserve">Tips for using </w:t>
      </w:r>
      <w:r w:rsidR="00D67A32">
        <w:t>RoCC</w:t>
      </w:r>
      <w:r w:rsidRPr="000A7E86">
        <w:t xml:space="preserve"> data in linkage studies</w:t>
      </w:r>
    </w:p>
    <w:p w:rsidR="0035636C" w:rsidRPr="008A5DE9" w:rsidRDefault="004C2CAE" w:rsidP="004B60AC">
      <w:pPr>
        <w:pStyle w:val="ListParagraph"/>
        <w:numPr>
          <w:ilvl w:val="0"/>
          <w:numId w:val="18"/>
        </w:numPr>
        <w:spacing w:after="0" w:line="240" w:lineRule="auto"/>
        <w:ind w:left="426" w:hanging="426"/>
        <w:rPr>
          <w:rFonts w:ascii="Calibri" w:hAnsi="Calibri"/>
          <w:color w:val="3E3E67" w:themeColor="accent1" w:themeShade="BF"/>
          <w:sz w:val="24"/>
          <w:szCs w:val="24"/>
        </w:rPr>
      </w:pPr>
      <w:r>
        <w:rPr>
          <w:rFonts w:ascii="Calibri" w:hAnsi="Calibri"/>
          <w:sz w:val="24"/>
          <w:szCs w:val="24"/>
        </w:rPr>
        <w:t xml:space="preserve">Personal identifiers are removed from the </w:t>
      </w:r>
      <w:r w:rsidR="008A5DE9" w:rsidRPr="008A5DE9">
        <w:rPr>
          <w:rFonts w:ascii="Calibri" w:hAnsi="Calibri"/>
          <w:sz w:val="24"/>
          <w:szCs w:val="24"/>
        </w:rPr>
        <w:t xml:space="preserve">RoCC </w:t>
      </w:r>
      <w:r>
        <w:rPr>
          <w:rFonts w:ascii="Calibri" w:hAnsi="Calibri"/>
          <w:sz w:val="24"/>
          <w:szCs w:val="24"/>
        </w:rPr>
        <w:t>after a period of five years;</w:t>
      </w:r>
      <w:r w:rsidR="008A5DE9" w:rsidRPr="008A5DE9">
        <w:rPr>
          <w:rFonts w:ascii="Calibri" w:hAnsi="Calibri"/>
          <w:sz w:val="24"/>
          <w:szCs w:val="24"/>
        </w:rPr>
        <w:t xml:space="preserve"> that is, names and other identifying variables are removed from </w:t>
      </w:r>
      <w:r w:rsidR="00274F17">
        <w:rPr>
          <w:rFonts w:ascii="Calibri" w:hAnsi="Calibri"/>
          <w:sz w:val="24"/>
          <w:szCs w:val="24"/>
        </w:rPr>
        <w:t xml:space="preserve">the database. </w:t>
      </w:r>
      <w:r w:rsidR="008A5DE9" w:rsidRPr="008A5DE9">
        <w:rPr>
          <w:rFonts w:ascii="Calibri" w:hAnsi="Calibri"/>
          <w:sz w:val="24"/>
          <w:szCs w:val="24"/>
        </w:rPr>
        <w:t xml:space="preserve">Data from the Register can therefore only be linked for the five year period for which identifiers remain on </w:t>
      </w:r>
      <w:r w:rsidR="003F4A67">
        <w:rPr>
          <w:rFonts w:ascii="Calibri" w:hAnsi="Calibri"/>
          <w:sz w:val="24"/>
          <w:szCs w:val="24"/>
        </w:rPr>
        <w:t>each</w:t>
      </w:r>
      <w:r w:rsidR="008A5DE9" w:rsidRPr="008A5DE9">
        <w:rPr>
          <w:rFonts w:ascii="Calibri" w:hAnsi="Calibri"/>
          <w:sz w:val="24"/>
          <w:szCs w:val="24"/>
        </w:rPr>
        <w:t xml:space="preserve"> record</w:t>
      </w:r>
      <w:r>
        <w:rPr>
          <w:rFonts w:ascii="Calibri" w:hAnsi="Calibri"/>
          <w:sz w:val="24"/>
          <w:szCs w:val="24"/>
        </w:rPr>
        <w:t>.</w:t>
      </w:r>
    </w:p>
    <w:p w:rsidR="000968B5" w:rsidRPr="00C13A01" w:rsidRDefault="00310850" w:rsidP="004B60AC">
      <w:pPr>
        <w:pStyle w:val="ListParagraph"/>
        <w:numPr>
          <w:ilvl w:val="0"/>
          <w:numId w:val="18"/>
        </w:numPr>
        <w:spacing w:after="0" w:line="240" w:lineRule="auto"/>
        <w:ind w:left="426" w:hanging="426"/>
        <w:rPr>
          <w:rFonts w:ascii="Calibri" w:hAnsi="Calibri" w:cs="Arial"/>
          <w:color w:val="3E3E67" w:themeColor="accent1" w:themeShade="BF"/>
          <w:sz w:val="24"/>
          <w:szCs w:val="24"/>
        </w:rPr>
      </w:pPr>
      <w:r w:rsidRPr="004C2CAE">
        <w:rPr>
          <w:rFonts w:ascii="Calibri" w:hAnsi="Calibri"/>
          <w:sz w:val="24"/>
          <w:szCs w:val="24"/>
        </w:rPr>
        <w:t xml:space="preserve">The CHeReL regularly links RoCC data for linkage </w:t>
      </w:r>
      <w:r w:rsidR="00035565" w:rsidRPr="004C2CAE">
        <w:rPr>
          <w:rFonts w:ascii="Calibri" w:hAnsi="Calibri"/>
          <w:sz w:val="24"/>
          <w:szCs w:val="24"/>
        </w:rPr>
        <w:t>studies;</w:t>
      </w:r>
      <w:r w:rsidRPr="004C2CAE">
        <w:rPr>
          <w:rFonts w:ascii="Calibri" w:hAnsi="Calibri"/>
          <w:sz w:val="24"/>
          <w:szCs w:val="24"/>
        </w:rPr>
        <w:t xml:space="preserve"> however the RoCC dataset is not p</w:t>
      </w:r>
      <w:r w:rsidR="00035565">
        <w:rPr>
          <w:rFonts w:ascii="Calibri" w:hAnsi="Calibri"/>
          <w:sz w:val="24"/>
          <w:szCs w:val="24"/>
        </w:rPr>
        <w:t xml:space="preserve">art of the Master Linkage Key. </w:t>
      </w:r>
      <w:r w:rsidRPr="004C2CAE">
        <w:rPr>
          <w:rFonts w:ascii="Calibri" w:hAnsi="Calibri"/>
          <w:sz w:val="24"/>
          <w:szCs w:val="24"/>
        </w:rPr>
        <w:t xml:space="preserve">Therefore in your application for linked data, </w:t>
      </w:r>
      <w:r w:rsidRPr="004C2CAE">
        <w:rPr>
          <w:rFonts w:ascii="Calibri" w:hAnsi="Calibri" w:cs="Arial"/>
          <w:sz w:val="24"/>
          <w:szCs w:val="24"/>
        </w:rPr>
        <w:t>please list RoCC data as an external (ad hoc) dataset.</w:t>
      </w:r>
    </w:p>
    <w:p w:rsidR="00C13A01" w:rsidRPr="00C13A01" w:rsidRDefault="00C13A01" w:rsidP="00C13A01">
      <w:pPr>
        <w:pStyle w:val="ListParagraph"/>
        <w:numPr>
          <w:ilvl w:val="0"/>
          <w:numId w:val="18"/>
        </w:numPr>
        <w:spacing w:after="0" w:line="240" w:lineRule="auto"/>
        <w:ind w:left="426" w:hanging="426"/>
        <w:rPr>
          <w:rFonts w:ascii="Calibri" w:hAnsi="Calibri"/>
          <w:sz w:val="24"/>
          <w:szCs w:val="24"/>
        </w:rPr>
      </w:pPr>
      <w:r>
        <w:rPr>
          <w:rFonts w:ascii="Calibri" w:hAnsi="Calibri"/>
          <w:sz w:val="24"/>
          <w:szCs w:val="24"/>
        </w:rPr>
        <w:t xml:space="preserve">A recent validation study that assessed the quality and coverage of reporting to the NSW Register of Congenital Conditions was published by the NSW Ministry of Health and is available here:  </w:t>
      </w:r>
      <w:hyperlink r:id="rId12" w:history="1">
        <w:r w:rsidRPr="005B3E43">
          <w:rPr>
            <w:rStyle w:val="Hyperlink"/>
            <w:rFonts w:ascii="Calibri" w:hAnsi="Calibri"/>
            <w:sz w:val="24"/>
            <w:szCs w:val="24"/>
          </w:rPr>
          <w:t>http://www.health.nsw.gov.au/hsnsw/Publications/rocc-apd-linkage-study.pdf</w:t>
        </w:r>
      </w:hyperlink>
      <w:r>
        <w:rPr>
          <w:rFonts w:ascii="Calibri" w:hAnsi="Calibri"/>
          <w:sz w:val="24"/>
          <w:szCs w:val="24"/>
        </w:rPr>
        <w:t xml:space="preserve">. One of the key findings of the study was that the quality and coverage of the Register was </w:t>
      </w:r>
      <w:r w:rsidR="00E80F8C">
        <w:rPr>
          <w:rFonts w:ascii="Calibri" w:hAnsi="Calibri"/>
          <w:sz w:val="24"/>
          <w:szCs w:val="24"/>
        </w:rPr>
        <w:t>condition specific</w:t>
      </w:r>
      <w:r>
        <w:rPr>
          <w:rFonts w:ascii="Calibri" w:hAnsi="Calibri"/>
          <w:sz w:val="24"/>
          <w:szCs w:val="24"/>
        </w:rPr>
        <w:t xml:space="preserve">. It is strongly recommended that users who are considering using records from the Register review the report, </w:t>
      </w:r>
      <w:r w:rsidR="00E80F8C">
        <w:rPr>
          <w:rFonts w:ascii="Calibri" w:hAnsi="Calibri"/>
          <w:sz w:val="24"/>
          <w:szCs w:val="24"/>
        </w:rPr>
        <w:t>and consider whether the Register is an appropriate data source for their study</w:t>
      </w:r>
      <w:r>
        <w:rPr>
          <w:rFonts w:ascii="Calibri" w:hAnsi="Calibri"/>
          <w:sz w:val="24"/>
          <w:szCs w:val="24"/>
        </w:rPr>
        <w:t>.</w:t>
      </w:r>
    </w:p>
    <w:p w:rsidR="00665E92" w:rsidRDefault="00665E92" w:rsidP="00310850">
      <w:pPr>
        <w:pStyle w:val="ListParagraph"/>
        <w:spacing w:after="0" w:line="240" w:lineRule="auto"/>
        <w:rPr>
          <w:rFonts w:ascii="Calibri" w:hAnsi="Calibri" w:cs="Arial"/>
          <w:color w:val="3E3E67" w:themeColor="accent1" w:themeShade="BF"/>
          <w:sz w:val="24"/>
          <w:szCs w:val="24"/>
        </w:rPr>
        <w:sectPr w:rsidR="00665E92" w:rsidSect="00B42EB0">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pPr>
    </w:p>
    <w:p w:rsidR="00E80F8C" w:rsidRDefault="00E80F8C" w:rsidP="00DD3073">
      <w:pPr>
        <w:pStyle w:val="Heading1"/>
      </w:pPr>
    </w:p>
    <w:p w:rsidR="00F83DDD" w:rsidRPr="000A7E86" w:rsidRDefault="00F83DDD" w:rsidP="00DD3073">
      <w:pPr>
        <w:pStyle w:val="Heading1"/>
      </w:pPr>
      <w:r w:rsidRPr="000A7E86">
        <w:t>Data custodian</w:t>
      </w:r>
    </w:p>
    <w:p w:rsidR="00665E92" w:rsidRDefault="00665E92" w:rsidP="00665E92">
      <w:pPr>
        <w:pStyle w:val="NormalWeb"/>
        <w:rPr>
          <w:rFonts w:ascii="Tahoma" w:hAnsi="Tahoma" w:cs="Tahoma"/>
          <w:color w:val="000000"/>
          <w:sz w:val="20"/>
          <w:szCs w:val="20"/>
        </w:rPr>
        <w:sectPr w:rsidR="00665E92" w:rsidSect="00665E92">
          <w:type w:val="continuous"/>
          <w:pgSz w:w="11906" w:h="16838" w:code="9"/>
          <w:pgMar w:top="1440" w:right="1440" w:bottom="1440" w:left="1440" w:header="709" w:footer="709" w:gutter="0"/>
          <w:cols w:space="708"/>
          <w:docGrid w:linePitch="360"/>
        </w:sectPr>
      </w:pPr>
    </w:p>
    <w:p w:rsidR="00E71174" w:rsidRDefault="00E71174" w:rsidP="00E71174">
      <w:pPr>
        <w:spacing w:after="0" w:line="240" w:lineRule="auto"/>
        <w:rPr>
          <w:rFonts w:ascii="Calibri" w:hAnsi="Calibri"/>
          <w:sz w:val="24"/>
          <w:szCs w:val="24"/>
        </w:rPr>
      </w:pPr>
      <w:r>
        <w:rPr>
          <w:rFonts w:ascii="Calibri" w:hAnsi="Calibri"/>
          <w:sz w:val="24"/>
          <w:szCs w:val="24"/>
        </w:rPr>
        <w:lastRenderedPageBreak/>
        <w:t>Tim Harrold</w:t>
      </w:r>
    </w:p>
    <w:p w:rsidR="00E71174" w:rsidRDefault="00035565" w:rsidP="00E71174">
      <w:pPr>
        <w:spacing w:after="0" w:line="240" w:lineRule="auto"/>
        <w:rPr>
          <w:rFonts w:ascii="Calibri" w:hAnsi="Calibri"/>
          <w:sz w:val="24"/>
          <w:szCs w:val="24"/>
        </w:rPr>
      </w:pPr>
      <w:r>
        <w:rPr>
          <w:rFonts w:ascii="Calibri" w:hAnsi="Calibri"/>
          <w:sz w:val="24"/>
          <w:szCs w:val="24"/>
        </w:rPr>
        <w:t>Principal Analyst</w:t>
      </w:r>
      <w:r w:rsidR="00E71174">
        <w:rPr>
          <w:rFonts w:ascii="Calibri" w:hAnsi="Calibri"/>
          <w:sz w:val="24"/>
          <w:szCs w:val="24"/>
        </w:rPr>
        <w:t xml:space="preserve">, Health </w:t>
      </w:r>
      <w:r>
        <w:rPr>
          <w:rFonts w:ascii="Calibri" w:hAnsi="Calibri"/>
          <w:sz w:val="24"/>
          <w:szCs w:val="24"/>
        </w:rPr>
        <w:t>Surveillance</w:t>
      </w:r>
    </w:p>
    <w:p w:rsidR="00E71174" w:rsidRDefault="00035565" w:rsidP="00E71174">
      <w:pPr>
        <w:spacing w:after="0" w:line="240" w:lineRule="auto"/>
        <w:rPr>
          <w:rFonts w:ascii="Calibri" w:hAnsi="Calibri"/>
          <w:sz w:val="24"/>
          <w:szCs w:val="24"/>
        </w:rPr>
      </w:pPr>
      <w:r>
        <w:rPr>
          <w:rFonts w:ascii="Calibri" w:hAnsi="Calibri"/>
          <w:sz w:val="24"/>
          <w:szCs w:val="24"/>
        </w:rPr>
        <w:t>Epidemiology and Biostatistics Unit</w:t>
      </w:r>
    </w:p>
    <w:p w:rsidR="00E71174" w:rsidRDefault="00E71174" w:rsidP="00E71174">
      <w:pPr>
        <w:spacing w:after="0" w:line="240" w:lineRule="auto"/>
        <w:rPr>
          <w:rFonts w:ascii="Calibri" w:hAnsi="Calibri"/>
          <w:sz w:val="24"/>
          <w:szCs w:val="24"/>
        </w:rPr>
      </w:pPr>
      <w:r>
        <w:rPr>
          <w:rFonts w:ascii="Calibri" w:hAnsi="Calibri"/>
          <w:sz w:val="24"/>
          <w:szCs w:val="24"/>
        </w:rPr>
        <w:t xml:space="preserve">Centre for Epidemiology and </w:t>
      </w:r>
      <w:r w:rsidR="00035565">
        <w:rPr>
          <w:rFonts w:ascii="Calibri" w:hAnsi="Calibri"/>
          <w:sz w:val="24"/>
          <w:szCs w:val="24"/>
        </w:rPr>
        <w:t>Evidence</w:t>
      </w:r>
    </w:p>
    <w:p w:rsidR="00E71174" w:rsidRDefault="00E71174" w:rsidP="00E71174">
      <w:pPr>
        <w:spacing w:after="0" w:line="240" w:lineRule="auto"/>
        <w:rPr>
          <w:rFonts w:ascii="Calibri" w:hAnsi="Calibri"/>
          <w:sz w:val="24"/>
          <w:szCs w:val="24"/>
        </w:rPr>
      </w:pPr>
      <w:r>
        <w:rPr>
          <w:rFonts w:ascii="Calibri" w:hAnsi="Calibri"/>
          <w:sz w:val="24"/>
          <w:szCs w:val="24"/>
        </w:rPr>
        <w:t>NSW Ministry of Health</w:t>
      </w:r>
    </w:p>
    <w:p w:rsidR="00E71174" w:rsidRDefault="00E71174" w:rsidP="00E71174">
      <w:pPr>
        <w:spacing w:after="0" w:line="240" w:lineRule="auto"/>
        <w:rPr>
          <w:rFonts w:ascii="Calibri" w:hAnsi="Calibri"/>
          <w:sz w:val="24"/>
          <w:szCs w:val="24"/>
        </w:rPr>
      </w:pPr>
      <w:r>
        <w:rPr>
          <w:rFonts w:ascii="Calibri" w:hAnsi="Calibri"/>
          <w:sz w:val="24"/>
          <w:szCs w:val="24"/>
        </w:rPr>
        <w:t>Locked Mail Bag 961</w:t>
      </w:r>
    </w:p>
    <w:p w:rsidR="00E71174" w:rsidRDefault="00E71174" w:rsidP="00E71174">
      <w:pPr>
        <w:spacing w:after="0" w:line="240" w:lineRule="auto"/>
        <w:rPr>
          <w:rFonts w:ascii="Calibri" w:hAnsi="Calibri"/>
          <w:sz w:val="24"/>
          <w:szCs w:val="24"/>
        </w:rPr>
      </w:pPr>
      <w:r>
        <w:rPr>
          <w:rFonts w:ascii="Calibri" w:hAnsi="Calibri"/>
          <w:sz w:val="24"/>
          <w:szCs w:val="24"/>
        </w:rPr>
        <w:t>NORTH SYDNEY NSW 2059</w:t>
      </w:r>
    </w:p>
    <w:p w:rsidR="00E71174" w:rsidRDefault="00E71174" w:rsidP="00E71174">
      <w:pPr>
        <w:spacing w:after="0" w:line="240" w:lineRule="auto"/>
        <w:rPr>
          <w:rFonts w:ascii="Calibri" w:hAnsi="Calibri"/>
          <w:sz w:val="24"/>
          <w:szCs w:val="24"/>
        </w:rPr>
      </w:pPr>
      <w:r>
        <w:rPr>
          <w:rFonts w:ascii="Calibri" w:hAnsi="Calibri"/>
          <w:sz w:val="24"/>
          <w:szCs w:val="24"/>
        </w:rPr>
        <w:lastRenderedPageBreak/>
        <w:t>Phone: 02 9391 9142</w:t>
      </w:r>
    </w:p>
    <w:p w:rsidR="00E71174" w:rsidRDefault="00035565" w:rsidP="00E71174">
      <w:pPr>
        <w:spacing w:after="0" w:line="240" w:lineRule="auto"/>
        <w:rPr>
          <w:rFonts w:ascii="Calibri" w:hAnsi="Calibri"/>
          <w:sz w:val="24"/>
          <w:szCs w:val="24"/>
        </w:rPr>
      </w:pPr>
      <w:r>
        <w:rPr>
          <w:rFonts w:ascii="Calibri" w:hAnsi="Calibri"/>
          <w:sz w:val="24"/>
          <w:szCs w:val="24"/>
        </w:rPr>
        <w:t>Fax: 02 9391 9</w:t>
      </w:r>
      <w:r w:rsidR="00640ED8">
        <w:rPr>
          <w:rFonts w:ascii="Calibri" w:hAnsi="Calibri"/>
          <w:sz w:val="24"/>
          <w:szCs w:val="24"/>
        </w:rPr>
        <w:t>232</w:t>
      </w:r>
    </w:p>
    <w:p w:rsidR="00E71174" w:rsidRDefault="00E71174" w:rsidP="00E71174">
      <w:pPr>
        <w:spacing w:after="0" w:line="240" w:lineRule="auto"/>
        <w:rPr>
          <w:rFonts w:ascii="Calibri" w:hAnsi="Calibri"/>
          <w:sz w:val="24"/>
          <w:szCs w:val="24"/>
        </w:rPr>
      </w:pPr>
      <w:r>
        <w:rPr>
          <w:rFonts w:ascii="Calibri" w:hAnsi="Calibri"/>
          <w:sz w:val="24"/>
          <w:szCs w:val="24"/>
        </w:rPr>
        <w:t xml:space="preserve">E-mail: </w:t>
      </w:r>
      <w:hyperlink r:id="rId19" w:history="1">
        <w:r w:rsidR="00035565" w:rsidRPr="001B1B7D">
          <w:rPr>
            <w:rStyle w:val="Hyperlink"/>
            <w:rFonts w:ascii="Calibri" w:hAnsi="Calibri"/>
            <w:sz w:val="24"/>
            <w:szCs w:val="24"/>
          </w:rPr>
          <w:t>tim.harrold@moh.health.nsw.gov.au</w:t>
        </w:r>
      </w:hyperlink>
      <w:r>
        <w:rPr>
          <w:rFonts w:ascii="Calibri" w:hAnsi="Calibri"/>
          <w:sz w:val="24"/>
          <w:szCs w:val="24"/>
        </w:rPr>
        <w:t xml:space="preserve"> </w:t>
      </w:r>
    </w:p>
    <w:p w:rsidR="00E71174" w:rsidRDefault="00E71174" w:rsidP="00E71174">
      <w:pPr>
        <w:spacing w:after="0" w:line="240" w:lineRule="auto"/>
        <w:rPr>
          <w:rFonts w:ascii="Calibri" w:hAnsi="Calibri"/>
          <w:sz w:val="24"/>
          <w:szCs w:val="24"/>
        </w:rPr>
      </w:pPr>
    </w:p>
    <w:p w:rsidR="00C279AC" w:rsidRDefault="00C279AC" w:rsidP="00E71174">
      <w:pPr>
        <w:spacing w:after="0" w:line="240" w:lineRule="auto"/>
        <w:rPr>
          <w:rFonts w:ascii="Calibri" w:hAnsi="Calibri"/>
          <w:sz w:val="24"/>
          <w:szCs w:val="24"/>
        </w:rPr>
      </w:pPr>
    </w:p>
    <w:p w:rsidR="00C279AC" w:rsidRDefault="00C279AC" w:rsidP="00E71174">
      <w:pPr>
        <w:spacing w:after="0" w:line="240" w:lineRule="auto"/>
        <w:rPr>
          <w:rFonts w:ascii="Calibri" w:hAnsi="Calibri"/>
          <w:sz w:val="24"/>
          <w:szCs w:val="24"/>
        </w:rPr>
      </w:pPr>
    </w:p>
    <w:p w:rsidR="00C279AC" w:rsidRDefault="00C279AC" w:rsidP="00E71174">
      <w:pPr>
        <w:spacing w:after="0" w:line="240" w:lineRule="auto"/>
        <w:rPr>
          <w:rFonts w:ascii="Calibri" w:hAnsi="Calibri"/>
          <w:sz w:val="24"/>
          <w:szCs w:val="24"/>
        </w:rPr>
        <w:sectPr w:rsidR="00C279AC" w:rsidSect="008B20B8">
          <w:type w:val="continuous"/>
          <w:pgSz w:w="11906" w:h="16838" w:code="9"/>
          <w:pgMar w:top="1440" w:right="1440" w:bottom="1440" w:left="1440" w:header="709" w:footer="709" w:gutter="0"/>
          <w:cols w:num="2" w:space="282"/>
          <w:docGrid w:linePitch="360"/>
        </w:sectPr>
      </w:pPr>
    </w:p>
    <w:p w:rsidR="00FD34CA" w:rsidRPr="00A034B0" w:rsidRDefault="00FD34CA" w:rsidP="00A034B0">
      <w:pPr>
        <w:sectPr w:rsidR="00FD34CA" w:rsidRPr="00A034B0" w:rsidSect="00665E92">
          <w:type w:val="continuous"/>
          <w:pgSz w:w="11906" w:h="16838" w:code="9"/>
          <w:pgMar w:top="1440" w:right="1440" w:bottom="1440" w:left="1440" w:header="709" w:footer="709" w:gutter="0"/>
          <w:cols w:space="708"/>
          <w:docGrid w:linePitch="360"/>
        </w:sectPr>
      </w:pPr>
    </w:p>
    <w:p w:rsidR="00F00049" w:rsidRPr="000A7E86" w:rsidRDefault="00431E51" w:rsidP="00DD3073">
      <w:pPr>
        <w:pStyle w:val="Heading1"/>
      </w:pPr>
      <w:r>
        <w:lastRenderedPageBreak/>
        <w:t xml:space="preserve">Register of Congenital Conditions – Variable </w:t>
      </w:r>
      <w:r w:rsidR="00C06E0C" w:rsidRPr="000A7E86">
        <w:t>information</w:t>
      </w:r>
    </w:p>
    <w:p w:rsidR="00F00049" w:rsidRPr="00F00049" w:rsidRDefault="00F00049" w:rsidP="00F00049"/>
    <w:tbl>
      <w:tblPr>
        <w:tblStyle w:val="LightList-Accent11"/>
        <w:tblW w:w="14425"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3085"/>
        <w:gridCol w:w="5954"/>
        <w:gridCol w:w="5386"/>
      </w:tblGrid>
      <w:tr w:rsidR="000546C1" w:rsidRPr="00A56710" w:rsidTr="000546C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rsidR="000546C1" w:rsidRPr="00A56710" w:rsidRDefault="000546C1">
            <w:pPr>
              <w:rPr>
                <w:rFonts w:ascii="Calibri" w:hAnsi="Calibri" w:cs="Arial"/>
              </w:rPr>
            </w:pPr>
            <w:bookmarkStart w:id="0" w:name="_Hlk274311485"/>
            <w:r w:rsidRPr="00A56710">
              <w:rPr>
                <w:rFonts w:ascii="Calibri" w:hAnsi="Calibri" w:cs="Arial"/>
              </w:rPr>
              <w:t>Variable</w:t>
            </w:r>
          </w:p>
        </w:tc>
        <w:tc>
          <w:tcPr>
            <w:tcW w:w="5954"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rsidR="000546C1" w:rsidRPr="00A56710" w:rsidRDefault="000546C1">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56710">
              <w:rPr>
                <w:rFonts w:ascii="Calibri" w:hAnsi="Calibri" w:cs="Arial"/>
              </w:rPr>
              <w:t>Description/Notes</w:t>
            </w:r>
          </w:p>
        </w:tc>
        <w:tc>
          <w:tcPr>
            <w:tcW w:w="5386"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rsidR="000546C1" w:rsidRPr="00A56710" w:rsidRDefault="000546C1" w:rsidP="00FB25CF">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56710">
              <w:rPr>
                <w:rFonts w:ascii="Calibri" w:hAnsi="Calibri" w:cs="Arial"/>
              </w:rPr>
              <w:t>Codes</w:t>
            </w:r>
          </w:p>
        </w:tc>
      </w:tr>
      <w:tr w:rsidR="000546C1"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292A45" w:themeColor="accent1" w:themeShade="80"/>
            </w:tcBorders>
            <w:shd w:val="clear" w:color="auto" w:fill="DADAE9" w:themeFill="accent1" w:themeFillTint="33"/>
          </w:tcPr>
          <w:p w:rsidR="000546C1" w:rsidRPr="00A56710" w:rsidRDefault="000546C1" w:rsidP="00D46F02">
            <w:pPr>
              <w:rPr>
                <w:rFonts w:ascii="Calibri" w:hAnsi="Calibri" w:cs="Arial"/>
                <w:color w:val="000000"/>
              </w:rPr>
            </w:pPr>
            <w:r>
              <w:rPr>
                <w:rFonts w:ascii="Calibri" w:hAnsi="Calibri" w:cs="Arial"/>
                <w:color w:val="000000"/>
              </w:rPr>
              <w:t>Baby’s date of birth</w:t>
            </w:r>
          </w:p>
        </w:tc>
        <w:tc>
          <w:tcPr>
            <w:tcW w:w="5954" w:type="dxa"/>
            <w:tcBorders>
              <w:top w:val="single" w:sz="8" w:space="0" w:color="292A45" w:themeColor="accent1" w:themeShade="80"/>
            </w:tcBorders>
          </w:tcPr>
          <w:p w:rsidR="00B143FA" w:rsidRDefault="00B143FA" w:rsidP="00B143F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Date of birth for live births and stillbirths. </w:t>
            </w:r>
          </w:p>
          <w:p w:rsidR="00B143FA" w:rsidRDefault="00B143FA" w:rsidP="00B143F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Date of pregnancy outcome for spontaneous abortions and terminations of pregnancy.</w:t>
            </w:r>
          </w:p>
          <w:p w:rsidR="00B143FA" w:rsidRPr="00A56710" w:rsidRDefault="00B143FA" w:rsidP="00B143FA">
            <w:pPr>
              <w:cnfStyle w:val="000000100000" w:firstRow="0" w:lastRow="0" w:firstColumn="0" w:lastColumn="0" w:oddVBand="0" w:evenVBand="0" w:oddHBand="1" w:evenHBand="0" w:firstRowFirstColumn="0" w:firstRowLastColumn="0" w:lastRowFirstColumn="0" w:lastRowLastColumn="0"/>
              <w:rPr>
                <w:rFonts w:ascii="Calibri" w:hAnsi="Calibri" w:cs="Arial"/>
              </w:rPr>
            </w:pPr>
            <w:bookmarkStart w:id="1" w:name="OLE_LINK3"/>
            <w:bookmarkStart w:id="2" w:name="OLE_LINK4"/>
            <w:r>
              <w:rPr>
                <w:rFonts w:ascii="Calibri" w:hAnsi="Calibri" w:cs="Arial"/>
              </w:rPr>
              <w:t>Full date of birth will only be supplied if sufficient justification is supplied that age</w:t>
            </w:r>
            <w:r w:rsidR="00E80F8C">
              <w:rPr>
                <w:rFonts w:ascii="Calibri" w:hAnsi="Calibri" w:cs="Arial"/>
              </w:rPr>
              <w:t xml:space="preserve"> and month/year of birth</w:t>
            </w:r>
            <w:r>
              <w:rPr>
                <w:rFonts w:ascii="Calibri" w:hAnsi="Calibri" w:cs="Arial"/>
              </w:rPr>
              <w:t xml:space="preserve"> is insufficient. Date of birth may otherwise be supplied as MMYYYY.</w:t>
            </w:r>
            <w:bookmarkEnd w:id="1"/>
            <w:bookmarkEnd w:id="2"/>
          </w:p>
        </w:tc>
        <w:tc>
          <w:tcPr>
            <w:tcW w:w="5386" w:type="dxa"/>
            <w:tcBorders>
              <w:top w:val="single" w:sz="8" w:space="0" w:color="292A45" w:themeColor="accent1" w:themeShade="80"/>
            </w:tcBorders>
          </w:tcPr>
          <w:p w:rsidR="000546C1" w:rsidRPr="00A56710" w:rsidRDefault="000546C1" w:rsidP="00FB25CF">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Mother’s date of birth</w:t>
            </w:r>
          </w:p>
        </w:tc>
        <w:tc>
          <w:tcPr>
            <w:tcW w:w="5954" w:type="dxa"/>
          </w:tcPr>
          <w:p w:rsidR="00864D4D" w:rsidRPr="00E907E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Full date of birth will only be supplied if sufficient justification is supplied that age is insufficient. Date of birth may otherwise be supplied as MMYYYY.</w:t>
            </w:r>
          </w:p>
        </w:tc>
        <w:tc>
          <w:tcPr>
            <w:tcW w:w="5386" w:type="dxa"/>
          </w:tcPr>
          <w:p w:rsidR="00864D4D"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Mother’s age</w:t>
            </w:r>
          </w:p>
        </w:tc>
        <w:tc>
          <w:tcPr>
            <w:tcW w:w="5954" w:type="dxa"/>
          </w:tcPr>
          <w:p w:rsidR="00864D4D" w:rsidRPr="00E907E7"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Mothers age in years</w:t>
            </w:r>
          </w:p>
        </w:tc>
        <w:tc>
          <w:tcPr>
            <w:tcW w:w="5386" w:type="dxa"/>
          </w:tcPr>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bookmarkStart w:id="3" w:name="_GoBack"/>
            <w:bookmarkEnd w:id="3"/>
            <w:r>
              <w:rPr>
                <w:rFonts w:ascii="Calibri" w:hAnsi="Calibri" w:cs="Arial"/>
                <w:color w:val="000000"/>
              </w:rPr>
              <w:t>Mother’s SLA of residence</w:t>
            </w:r>
          </w:p>
        </w:tc>
        <w:tc>
          <w:tcPr>
            <w:tcW w:w="5954" w:type="dxa"/>
          </w:tcPr>
          <w:p w:rsidR="00864D4D" w:rsidRPr="00E907E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SLA of residence</w:t>
            </w:r>
          </w:p>
        </w:tc>
        <w:tc>
          <w:tcPr>
            <w:tcW w:w="5386" w:type="dxa"/>
          </w:tcPr>
          <w:p w:rsidR="00864D4D" w:rsidRPr="003F4A6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3F4A67">
              <w:rPr>
                <w:rFonts w:ascii="Calibri" w:hAnsi="Calibri" w:cs="Arial"/>
              </w:rPr>
              <w:t xml:space="preserve">Codes are according to the Australian Standard Geographical Classification (ASGC) issued by the Australian Bureau of Statistics </w:t>
            </w:r>
            <w:hyperlink r:id="rId20" w:history="1">
              <w:r w:rsidRPr="003F4A67">
                <w:rPr>
                  <w:rStyle w:val="Hyperlink"/>
                  <w:rFonts w:ascii="Calibri" w:hAnsi="Calibri" w:cs="Arial"/>
                </w:rPr>
                <w:t>http://www.abs.gov.au/ausstats/abs@.nsf/mf/1216.0</w:t>
              </w:r>
            </w:hyperlink>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Health Area of residence</w:t>
            </w:r>
          </w:p>
        </w:tc>
        <w:tc>
          <w:tcPr>
            <w:tcW w:w="5954" w:type="dxa"/>
          </w:tcPr>
          <w:p w:rsidR="00864D4D" w:rsidRPr="00E907E7"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Health Area of residence</w:t>
            </w:r>
          </w:p>
        </w:tc>
        <w:tc>
          <w:tcPr>
            <w:tcW w:w="5386" w:type="dxa"/>
          </w:tcPr>
          <w:p w:rsidR="00864D4D" w:rsidRDefault="00864D4D" w:rsidP="005D33A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See Attachment 1 – </w:t>
            </w:r>
            <w:r w:rsidR="00B7702A">
              <w:rPr>
                <w:rFonts w:ascii="Calibri" w:hAnsi="Calibri" w:cs="Arial"/>
              </w:rPr>
              <w:t>Area Health Service</w:t>
            </w:r>
            <w:r w:rsidR="005D33AA">
              <w:rPr>
                <w:rFonts w:ascii="Calibri" w:hAnsi="Calibri" w:cs="Arial"/>
              </w:rPr>
              <w:t>s</w:t>
            </w:r>
          </w:p>
        </w:tc>
      </w:tr>
      <w:tr w:rsidR="00864D4D" w:rsidRPr="0001624A"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01624A" w:rsidRDefault="00864D4D" w:rsidP="00864D4D">
            <w:pPr>
              <w:rPr>
                <w:rFonts w:ascii="Calibri" w:hAnsi="Calibri" w:cs="Arial"/>
              </w:rPr>
            </w:pPr>
            <w:r w:rsidRPr="0001624A">
              <w:rPr>
                <w:rFonts w:ascii="Calibri" w:hAnsi="Calibri" w:cs="Arial"/>
              </w:rPr>
              <w:t>Local Health District of residence</w:t>
            </w:r>
          </w:p>
        </w:tc>
        <w:tc>
          <w:tcPr>
            <w:tcW w:w="5954" w:type="dxa"/>
          </w:tcPr>
          <w:p w:rsidR="00864D4D" w:rsidRPr="0001624A"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1624A">
              <w:rPr>
                <w:rFonts w:ascii="Calibri" w:hAnsi="Calibri" w:cs="Arial"/>
              </w:rPr>
              <w:t>Local Health District of residence</w:t>
            </w:r>
          </w:p>
        </w:tc>
        <w:tc>
          <w:tcPr>
            <w:tcW w:w="5386" w:type="dxa"/>
          </w:tcPr>
          <w:p w:rsidR="00864D4D" w:rsidRPr="0001624A" w:rsidRDefault="00011A44" w:rsidP="00011A44">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01624A">
              <w:rPr>
                <w:rFonts w:ascii="Calibri" w:hAnsi="Calibri" w:cs="Arial"/>
              </w:rPr>
              <w:t xml:space="preserve">See Attachment 2 – </w:t>
            </w:r>
            <w:r w:rsidR="00B7702A">
              <w:rPr>
                <w:rFonts w:ascii="Calibri" w:hAnsi="Calibri" w:cs="Arial"/>
              </w:rPr>
              <w:t xml:space="preserve">Local </w:t>
            </w:r>
            <w:r w:rsidR="00864D4D" w:rsidRPr="0001624A">
              <w:rPr>
                <w:rFonts w:ascii="Calibri" w:hAnsi="Calibri" w:cs="Arial"/>
              </w:rPr>
              <w:t>Health District</w:t>
            </w:r>
            <w:r w:rsidRPr="0001624A">
              <w:rPr>
                <w:rFonts w:ascii="Calibri" w:hAnsi="Calibri" w:cs="Arial"/>
              </w:rPr>
              <w:t>s</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Mother’s Indigenous status</w:t>
            </w:r>
          </w:p>
        </w:tc>
        <w:tc>
          <w:tcPr>
            <w:tcW w:w="5954" w:type="dxa"/>
          </w:tcPr>
          <w:p w:rsidR="00D631B3" w:rsidRDefault="00864D4D" w:rsidP="00D631B3">
            <w:pPr>
              <w:ind w:right="403"/>
              <w:cnfStyle w:val="000000100000" w:firstRow="0" w:lastRow="0" w:firstColumn="0" w:lastColumn="0" w:oddVBand="0" w:evenVBand="0" w:oddHBand="1" w:evenHBand="0" w:firstRowFirstColumn="0" w:firstRowLastColumn="0" w:lastRowFirstColumn="0" w:lastRowLastColumn="0"/>
              <w:rPr>
                <w:color w:val="1F497D"/>
              </w:rPr>
            </w:pPr>
            <w:r>
              <w:rPr>
                <w:rFonts w:ascii="Calibri" w:hAnsi="Calibri" w:cs="Arial"/>
              </w:rPr>
              <w:t>Mother’s Indigenous status</w:t>
            </w:r>
            <w:r w:rsidR="00D631B3">
              <w:rPr>
                <w:rFonts w:ascii="Calibri" w:hAnsi="Calibri" w:cs="Arial"/>
              </w:rPr>
              <w:t xml:space="preserve">.  </w:t>
            </w:r>
            <w:r w:rsidR="00D631B3">
              <w:rPr>
                <w:rFonts w:ascii="Calibri" w:eastAsia="Calibri" w:hAnsi="Calibri" w:cs="Times New Roman"/>
                <w:bCs/>
                <w:noProof/>
                <w:color w:val="000000"/>
              </w:rPr>
              <w:t>See notes above regarding access to this variable.</w:t>
            </w:r>
          </w:p>
          <w:p w:rsidR="00864D4D" w:rsidRPr="00E907E7"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5386" w:type="dxa"/>
          </w:tcPr>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Aboriginal</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Torres Strait Islander</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Aboriginal and Torres Strait Islander</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4 = None of the above</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Not stated</w:t>
            </w: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Mother’s country of birth</w:t>
            </w:r>
          </w:p>
        </w:tc>
        <w:tc>
          <w:tcPr>
            <w:tcW w:w="5954" w:type="dxa"/>
          </w:tcPr>
          <w:p w:rsidR="00864D4D" w:rsidRPr="00E907E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Mother’s country of birth</w:t>
            </w:r>
          </w:p>
        </w:tc>
        <w:tc>
          <w:tcPr>
            <w:tcW w:w="5386" w:type="dxa"/>
          </w:tcPr>
          <w:p w:rsidR="00864D4D" w:rsidRPr="003F4A6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olor w:val="008800"/>
                <w:sz w:val="20"/>
                <w:szCs w:val="20"/>
              </w:rPr>
            </w:pPr>
            <w:r w:rsidRPr="003F4A67">
              <w:rPr>
                <w:rFonts w:ascii="Calibri" w:hAnsi="Calibri" w:cs="Arial"/>
              </w:rPr>
              <w:t xml:space="preserve">Codes are according to the Standard Australian Classification of Countries (SACC) issued by the Australian Bureau of Statistics </w:t>
            </w:r>
            <w:hyperlink r:id="rId21" w:history="1">
              <w:r w:rsidRPr="003F4A67">
                <w:rPr>
                  <w:rStyle w:val="Hyperlink"/>
                  <w:rFonts w:ascii="Calibri" w:hAnsi="Calibri"/>
                </w:rPr>
                <w:t>http://www.abs.gov.au/ausstats/abs@.nsf/mf/1269.0</w:t>
              </w:r>
            </w:hyperlink>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lastRenderedPageBreak/>
              <w:t>Baby’s Indigenous status</w:t>
            </w:r>
          </w:p>
        </w:tc>
        <w:tc>
          <w:tcPr>
            <w:tcW w:w="5954" w:type="dxa"/>
          </w:tcPr>
          <w:p w:rsidR="00D631B3" w:rsidRDefault="00864D4D" w:rsidP="00D631B3">
            <w:pPr>
              <w:ind w:right="403"/>
              <w:cnfStyle w:val="000000100000" w:firstRow="0" w:lastRow="0" w:firstColumn="0" w:lastColumn="0" w:oddVBand="0" w:evenVBand="0" w:oddHBand="1" w:evenHBand="0" w:firstRowFirstColumn="0" w:firstRowLastColumn="0" w:lastRowFirstColumn="0" w:lastRowLastColumn="0"/>
              <w:rPr>
                <w:color w:val="1F497D"/>
              </w:rPr>
            </w:pPr>
            <w:r>
              <w:rPr>
                <w:rFonts w:ascii="Calibri" w:hAnsi="Calibri" w:cs="Arial"/>
              </w:rPr>
              <w:t>Baby’s Indigenous status</w:t>
            </w:r>
            <w:r w:rsidR="00D631B3">
              <w:rPr>
                <w:rFonts w:ascii="Calibri" w:hAnsi="Calibri" w:cs="Arial"/>
              </w:rPr>
              <w:t xml:space="preserve">. </w:t>
            </w:r>
            <w:r w:rsidR="00D631B3">
              <w:rPr>
                <w:rFonts w:ascii="Calibri" w:eastAsia="Calibri" w:hAnsi="Calibri" w:cs="Times New Roman"/>
                <w:bCs/>
                <w:noProof/>
                <w:color w:val="000000"/>
              </w:rPr>
              <w:t>See notes above regarding access to this variable.</w:t>
            </w:r>
          </w:p>
          <w:p w:rsidR="00864D4D" w:rsidRPr="00E907E7"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5386" w:type="dxa"/>
          </w:tcPr>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Aboriginal</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Torres Strait Islander</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Aboriginal and Torres Strait Islander</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4 = None of the above</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Not stated</w:t>
            </w: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A56710" w:rsidRDefault="00864D4D">
            <w:pPr>
              <w:rPr>
                <w:rFonts w:ascii="Calibri" w:hAnsi="Calibri" w:cs="Arial"/>
                <w:color w:val="000000"/>
              </w:rPr>
            </w:pPr>
            <w:r>
              <w:rPr>
                <w:rFonts w:ascii="Calibri" w:hAnsi="Calibri" w:cs="Arial"/>
                <w:color w:val="000000"/>
              </w:rPr>
              <w:t>Hospital of birth</w:t>
            </w:r>
          </w:p>
        </w:tc>
        <w:tc>
          <w:tcPr>
            <w:tcW w:w="5954" w:type="dxa"/>
          </w:tcPr>
          <w:p w:rsidR="00864D4D" w:rsidRPr="00A56710"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Hospital of birth for live births and stillbirths. Hospital of pregnancy outcome for spontaneous abortions and terminations of pregnancy.</w:t>
            </w:r>
          </w:p>
        </w:tc>
        <w:tc>
          <w:tcPr>
            <w:tcW w:w="5386" w:type="dxa"/>
          </w:tcPr>
          <w:p w:rsidR="00864D4D" w:rsidRDefault="00864D4D" w:rsidP="00310850">
            <w:pPr>
              <w:ind w:left="33" w:hanging="33"/>
              <w:cnfStyle w:val="000000000000" w:firstRow="0" w:lastRow="0" w:firstColumn="0" w:lastColumn="0" w:oddVBand="0" w:evenVBand="0" w:oddHBand="0" w:evenHBand="0" w:firstRowFirstColumn="0" w:firstRowLastColumn="0" w:lastRowFirstColumn="0" w:lastRowLastColumn="0"/>
              <w:rPr>
                <w:rFonts w:ascii="Calibri" w:hAnsi="Calibri" w:cs="Arial"/>
              </w:rPr>
            </w:pPr>
            <w:r w:rsidRPr="005D1466">
              <w:rPr>
                <w:rFonts w:ascii="Calibri" w:hAnsi="Calibri" w:cs="Arial"/>
              </w:rPr>
              <w:t>Code lists are updated regularly. If information on specific facilities is required, these should be specified by name.</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A56710" w:rsidRDefault="00864D4D">
            <w:pPr>
              <w:rPr>
                <w:rFonts w:ascii="Calibri" w:hAnsi="Calibri" w:cs="Arial"/>
                <w:color w:val="000000"/>
              </w:rPr>
            </w:pPr>
            <w:r>
              <w:rPr>
                <w:rFonts w:ascii="Calibri" w:hAnsi="Calibri" w:cs="Arial"/>
                <w:color w:val="000000"/>
              </w:rPr>
              <w:t>Health Area of hospital</w:t>
            </w:r>
          </w:p>
        </w:tc>
        <w:tc>
          <w:tcPr>
            <w:tcW w:w="5954" w:type="dxa"/>
          </w:tcPr>
          <w:p w:rsidR="00864D4D" w:rsidRPr="00A56710" w:rsidRDefault="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Health Area of hospital</w:t>
            </w:r>
          </w:p>
        </w:tc>
        <w:tc>
          <w:tcPr>
            <w:tcW w:w="5386" w:type="dxa"/>
          </w:tcPr>
          <w:p w:rsidR="00864D4D" w:rsidRDefault="002C6D07" w:rsidP="00F94E58">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See Attachment 1 – </w:t>
            </w:r>
            <w:r w:rsidR="00F94E58">
              <w:rPr>
                <w:rFonts w:ascii="Calibri" w:hAnsi="Calibri" w:cs="Arial"/>
              </w:rPr>
              <w:t>Area Health Service</w:t>
            </w:r>
            <w:r w:rsidR="002B6D18">
              <w:rPr>
                <w:rFonts w:ascii="Calibri" w:hAnsi="Calibri" w:cs="Arial"/>
              </w:rPr>
              <w:t>s</w:t>
            </w:r>
          </w:p>
        </w:tc>
      </w:tr>
      <w:tr w:rsidR="00864D4D" w:rsidRPr="002C6D07"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2C6D07" w:rsidRDefault="00864D4D">
            <w:pPr>
              <w:rPr>
                <w:rFonts w:ascii="Calibri" w:hAnsi="Calibri" w:cs="Arial"/>
              </w:rPr>
            </w:pPr>
            <w:r w:rsidRPr="002C6D07">
              <w:rPr>
                <w:rFonts w:ascii="Calibri" w:hAnsi="Calibri" w:cs="Arial"/>
              </w:rPr>
              <w:t>Local Health District of hospital</w:t>
            </w:r>
          </w:p>
        </w:tc>
        <w:tc>
          <w:tcPr>
            <w:tcW w:w="5954" w:type="dxa"/>
          </w:tcPr>
          <w:p w:rsidR="00864D4D" w:rsidRPr="002C6D07"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2C6D07">
              <w:rPr>
                <w:rFonts w:ascii="Calibri" w:hAnsi="Calibri" w:cs="Arial"/>
              </w:rPr>
              <w:t>Local Health District of hospital</w:t>
            </w:r>
          </w:p>
        </w:tc>
        <w:tc>
          <w:tcPr>
            <w:tcW w:w="5386" w:type="dxa"/>
          </w:tcPr>
          <w:p w:rsidR="00864D4D" w:rsidRPr="002C6D07" w:rsidRDefault="0001624A" w:rsidP="00592C5F">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rPr>
            </w:pPr>
            <w:r w:rsidRPr="002C6D07">
              <w:rPr>
                <w:rFonts w:ascii="Calibri" w:hAnsi="Calibri" w:cs="Arial"/>
              </w:rPr>
              <w:t xml:space="preserve">See Attachment 2 – </w:t>
            </w:r>
            <w:r w:rsidR="00F94E58">
              <w:rPr>
                <w:rFonts w:ascii="Calibri" w:hAnsi="Calibri" w:cs="Arial"/>
              </w:rPr>
              <w:t xml:space="preserve">Local </w:t>
            </w:r>
            <w:r w:rsidRPr="002C6D07">
              <w:rPr>
                <w:rFonts w:ascii="Calibri" w:hAnsi="Calibri" w:cs="Arial"/>
              </w:rPr>
              <w:t>Health Districts</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A56710" w:rsidRDefault="00864D4D" w:rsidP="00864D4D">
            <w:pPr>
              <w:rPr>
                <w:rFonts w:ascii="Calibri" w:hAnsi="Calibri" w:cs="Arial"/>
                <w:color w:val="000000"/>
              </w:rPr>
            </w:pPr>
            <w:r>
              <w:rPr>
                <w:rFonts w:ascii="Calibri" w:hAnsi="Calibri" w:cs="Arial"/>
                <w:color w:val="000000"/>
              </w:rPr>
              <w:t>Previous pregnancy &gt; 20 weeks</w:t>
            </w:r>
          </w:p>
        </w:tc>
        <w:tc>
          <w:tcPr>
            <w:tcW w:w="5954" w:type="dxa"/>
          </w:tcPr>
          <w:p w:rsidR="00864D4D" w:rsidRPr="00E907E7"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Whether the mother has had a previous pregnancy of 20 completed weeks gestation or more.</w:t>
            </w:r>
          </w:p>
        </w:tc>
        <w:tc>
          <w:tcPr>
            <w:tcW w:w="5386" w:type="dxa"/>
          </w:tcPr>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0 = No</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Yes</w:t>
            </w:r>
          </w:p>
          <w:p w:rsidR="00864D4D" w:rsidRDefault="00864D4D" w:rsidP="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Not stated</w:t>
            </w: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864D4D">
            <w:pPr>
              <w:rPr>
                <w:rFonts w:ascii="Calibri" w:hAnsi="Calibri" w:cs="Arial"/>
                <w:color w:val="000000"/>
              </w:rPr>
            </w:pPr>
            <w:r>
              <w:rPr>
                <w:rFonts w:ascii="Calibri" w:hAnsi="Calibri" w:cs="Arial"/>
                <w:color w:val="000000"/>
              </w:rPr>
              <w:t>Number of previous pregnancies</w:t>
            </w:r>
          </w:p>
        </w:tc>
        <w:tc>
          <w:tcPr>
            <w:tcW w:w="5954" w:type="dxa"/>
          </w:tcPr>
          <w:p w:rsidR="00864D4D" w:rsidRPr="00E907E7"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Number of previous pregnancies of 20 completed weeks gestation or more.</w:t>
            </w:r>
          </w:p>
        </w:tc>
        <w:tc>
          <w:tcPr>
            <w:tcW w:w="5386" w:type="dxa"/>
          </w:tcPr>
          <w:p w:rsidR="00864D4D" w:rsidRDefault="00864D4D" w:rsidP="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Pr="00A56710" w:rsidRDefault="00864D4D">
            <w:pPr>
              <w:rPr>
                <w:rFonts w:ascii="Calibri" w:hAnsi="Calibri" w:cs="Arial"/>
                <w:color w:val="000000"/>
              </w:rPr>
            </w:pPr>
            <w:r>
              <w:rPr>
                <w:rFonts w:ascii="Calibri" w:hAnsi="Calibri" w:cs="Arial"/>
                <w:color w:val="000000"/>
              </w:rPr>
              <w:t xml:space="preserve">Baby’s </w:t>
            </w:r>
            <w:r w:rsidRPr="00A56710">
              <w:rPr>
                <w:rFonts w:ascii="Calibri" w:hAnsi="Calibri" w:cs="Arial"/>
                <w:color w:val="000000"/>
              </w:rPr>
              <w:t>Sex</w:t>
            </w:r>
          </w:p>
        </w:tc>
        <w:tc>
          <w:tcPr>
            <w:tcW w:w="5954" w:type="dxa"/>
          </w:tcPr>
          <w:p w:rsidR="00864D4D" w:rsidRPr="00A56710" w:rsidRDefault="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Sex of fetus or baby</w:t>
            </w:r>
          </w:p>
        </w:tc>
        <w:tc>
          <w:tcPr>
            <w:tcW w:w="5386" w:type="dxa"/>
          </w:tcPr>
          <w:p w:rsidR="00864D4D" w:rsidRPr="00A56710" w:rsidRDefault="00864D4D" w:rsidP="00592C5F">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w:t>
            </w:r>
            <w:r w:rsidRPr="00A56710">
              <w:rPr>
                <w:rFonts w:ascii="Calibri" w:hAnsi="Calibri" w:cs="Arial"/>
              </w:rPr>
              <w:t xml:space="preserve"> Male</w:t>
            </w:r>
          </w:p>
          <w:p w:rsidR="00864D4D" w:rsidRDefault="00864D4D" w:rsidP="00C3639E">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w:t>
            </w:r>
            <w:r w:rsidRPr="00A56710">
              <w:rPr>
                <w:rFonts w:ascii="Calibri" w:hAnsi="Calibri" w:cs="Arial"/>
              </w:rPr>
              <w:t xml:space="preserve"> Female</w:t>
            </w:r>
          </w:p>
          <w:p w:rsidR="00864D4D" w:rsidRDefault="00864D4D" w:rsidP="00C3639E">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Indeterminate</w:t>
            </w:r>
          </w:p>
          <w:p w:rsidR="00864D4D" w:rsidRPr="00A56710" w:rsidRDefault="00864D4D" w:rsidP="00544DE6">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Unknown</w:t>
            </w: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pPr>
              <w:rPr>
                <w:rFonts w:ascii="Calibri" w:hAnsi="Calibri" w:cs="Arial"/>
                <w:color w:val="000000"/>
              </w:rPr>
            </w:pPr>
            <w:r>
              <w:rPr>
                <w:rFonts w:ascii="Calibri" w:hAnsi="Calibri" w:cs="Arial"/>
                <w:color w:val="000000"/>
              </w:rPr>
              <w:t>Pregnancy outcome</w:t>
            </w:r>
          </w:p>
        </w:tc>
        <w:tc>
          <w:tcPr>
            <w:tcW w:w="5954" w:type="dxa"/>
          </w:tcPr>
          <w:p w:rsidR="00864D4D"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Spontaneous abortions: most spontaneous abortions are not tested for chromosomal abnormalities. The cases reported to the RoCC usually arise from testing following repeated spontaneous abortions.</w:t>
            </w:r>
          </w:p>
          <w:p w:rsidR="00864D4D" w:rsidRPr="00E907E7"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Neonatal and post-neonatal deaths: these are under-reported to the RoCC.</w:t>
            </w:r>
          </w:p>
        </w:tc>
        <w:tc>
          <w:tcPr>
            <w:tcW w:w="5386" w:type="dxa"/>
          </w:tcPr>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1 = Spontaneous abortion</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2 = TOP (&lt;20 weeks)</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3 = Stillbirth (&gt;20 weeks)</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4 = Liveborn/neonatal death</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5 = Liveborn/postneonatal death</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6 = Liveborn surviving</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9 = Unknown outcome</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pPr>
              <w:rPr>
                <w:rFonts w:ascii="Calibri" w:hAnsi="Calibri" w:cs="Arial"/>
                <w:color w:val="000000"/>
              </w:rPr>
            </w:pPr>
            <w:r>
              <w:rPr>
                <w:rFonts w:ascii="Calibri" w:hAnsi="Calibri" w:cs="Arial"/>
                <w:color w:val="000000"/>
              </w:rPr>
              <w:t>Birth weight</w:t>
            </w:r>
          </w:p>
        </w:tc>
        <w:tc>
          <w:tcPr>
            <w:tcW w:w="5954" w:type="dxa"/>
          </w:tcPr>
          <w:p w:rsidR="00864D4D" w:rsidRPr="00E907E7" w:rsidRDefault="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Birth weight measured in grams for live born and still born infants</w:t>
            </w:r>
          </w:p>
        </w:tc>
        <w:tc>
          <w:tcPr>
            <w:tcW w:w="5386" w:type="dxa"/>
          </w:tcPr>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1B2D80">
            <w:pPr>
              <w:rPr>
                <w:rFonts w:ascii="Calibri" w:hAnsi="Calibri" w:cs="Arial"/>
                <w:color w:val="000000"/>
              </w:rPr>
            </w:pPr>
            <w:r>
              <w:rPr>
                <w:rFonts w:ascii="Calibri" w:hAnsi="Calibri" w:cs="Arial"/>
                <w:color w:val="000000"/>
              </w:rPr>
              <w:t>Gestational age</w:t>
            </w:r>
          </w:p>
        </w:tc>
        <w:tc>
          <w:tcPr>
            <w:tcW w:w="5954" w:type="dxa"/>
          </w:tcPr>
          <w:p w:rsidR="00864D4D" w:rsidRPr="00E907E7"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Gestational age measured in weeks, based on the best clinical estimate</w:t>
            </w:r>
          </w:p>
        </w:tc>
        <w:tc>
          <w:tcPr>
            <w:tcW w:w="5386" w:type="dxa"/>
          </w:tcPr>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pPr>
              <w:rPr>
                <w:rFonts w:ascii="Calibri" w:hAnsi="Calibri" w:cs="Arial"/>
                <w:color w:val="000000"/>
              </w:rPr>
            </w:pPr>
            <w:r>
              <w:rPr>
                <w:rFonts w:ascii="Calibri" w:hAnsi="Calibri" w:cs="Arial"/>
                <w:color w:val="000000"/>
              </w:rPr>
              <w:lastRenderedPageBreak/>
              <w:t>Baby’s date of death</w:t>
            </w:r>
          </w:p>
        </w:tc>
        <w:tc>
          <w:tcPr>
            <w:tcW w:w="5954" w:type="dxa"/>
          </w:tcPr>
          <w:p w:rsidR="00864D4D" w:rsidRPr="00E907E7" w:rsidRDefault="00864D4D" w:rsidP="00013E1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Full date of birth will only be supplied if sufficient justification is supplied that age </w:t>
            </w:r>
            <w:r w:rsidR="00E80F8C">
              <w:rPr>
                <w:rFonts w:ascii="Calibri" w:hAnsi="Calibri" w:cs="Arial"/>
              </w:rPr>
              <w:t xml:space="preserve">and month/year of birth </w:t>
            </w:r>
            <w:r>
              <w:rPr>
                <w:rFonts w:ascii="Calibri" w:hAnsi="Calibri" w:cs="Arial"/>
              </w:rPr>
              <w:t>is insufficient. Date of birth may otherwise be supplied as MMYYYY.</w:t>
            </w:r>
          </w:p>
        </w:tc>
        <w:tc>
          <w:tcPr>
            <w:tcW w:w="5386" w:type="dxa"/>
          </w:tcPr>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C120E5">
            <w:pPr>
              <w:rPr>
                <w:rFonts w:ascii="Calibri" w:hAnsi="Calibri" w:cs="Arial"/>
                <w:color w:val="000000"/>
              </w:rPr>
            </w:pPr>
            <w:r>
              <w:rPr>
                <w:rFonts w:ascii="Calibri" w:hAnsi="Calibri" w:cs="Arial"/>
                <w:color w:val="000000"/>
              </w:rPr>
              <w:t xml:space="preserve">Plurality </w:t>
            </w:r>
          </w:p>
        </w:tc>
        <w:tc>
          <w:tcPr>
            <w:tcW w:w="5954" w:type="dxa"/>
          </w:tcPr>
          <w:p w:rsidR="00864D4D" w:rsidRPr="00E907E7"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The number of fetuses or babies from the pregnancy. On this basis pregnancy may be classified as single or multiple.</w:t>
            </w:r>
          </w:p>
        </w:tc>
        <w:tc>
          <w:tcPr>
            <w:tcW w:w="5386" w:type="dxa"/>
          </w:tcPr>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1 = Singleton</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2 = Twins</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3 = Triplets</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etc</w:t>
            </w:r>
          </w:p>
          <w:p w:rsidR="00864D4D" w:rsidRDefault="00864D4D" w:rsidP="00E907E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9 = Not stated</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pPr>
              <w:rPr>
                <w:rFonts w:ascii="Calibri" w:hAnsi="Calibri" w:cs="Arial"/>
                <w:color w:val="000000"/>
              </w:rPr>
            </w:pPr>
            <w:r>
              <w:rPr>
                <w:rFonts w:ascii="Calibri" w:hAnsi="Calibri" w:cs="Arial"/>
                <w:color w:val="000000"/>
              </w:rPr>
              <w:t>Birth order</w:t>
            </w:r>
          </w:p>
        </w:tc>
        <w:tc>
          <w:tcPr>
            <w:tcW w:w="5954" w:type="dxa"/>
          </w:tcPr>
          <w:p w:rsidR="00864D4D" w:rsidRPr="00E907E7" w:rsidRDefault="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The order of birth.</w:t>
            </w:r>
          </w:p>
        </w:tc>
        <w:tc>
          <w:tcPr>
            <w:tcW w:w="5386" w:type="dxa"/>
          </w:tcPr>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First</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Second</w:t>
            </w:r>
          </w:p>
          <w:p w:rsidR="00864D4D" w:rsidRDefault="00864D4D" w:rsidP="00CC5BB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3 = Third </w:t>
            </w:r>
          </w:p>
          <w:p w:rsidR="00864D4D" w:rsidRDefault="00864D4D" w:rsidP="00CC5BB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etc</w:t>
            </w:r>
          </w:p>
          <w:p w:rsidR="00864D4D" w:rsidRDefault="00864D4D" w:rsidP="00CC5BB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Not stated</w:t>
            </w:r>
          </w:p>
        </w:tc>
      </w:tr>
      <w:tr w:rsidR="00864D4D" w:rsidRPr="00A56710" w:rsidTr="000546C1">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pPr>
              <w:rPr>
                <w:rFonts w:ascii="Calibri" w:hAnsi="Calibri" w:cs="Arial"/>
                <w:color w:val="000000"/>
              </w:rPr>
            </w:pPr>
            <w:r>
              <w:rPr>
                <w:rFonts w:ascii="Calibri" w:hAnsi="Calibri" w:cs="Arial"/>
                <w:color w:val="000000"/>
              </w:rPr>
              <w:t>Congenital condition  code</w:t>
            </w:r>
          </w:p>
        </w:tc>
        <w:tc>
          <w:tcPr>
            <w:tcW w:w="5954" w:type="dxa"/>
          </w:tcPr>
          <w:p w:rsidR="00864D4D" w:rsidRPr="00E907E7" w:rsidRDefault="00864D4D">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Congenital condition code</w:t>
            </w:r>
          </w:p>
        </w:tc>
        <w:tc>
          <w:tcPr>
            <w:tcW w:w="5386" w:type="dxa"/>
          </w:tcPr>
          <w:p w:rsidR="00864D4D" w:rsidRDefault="00864D4D" w:rsidP="00D84B6E">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D84B6E">
              <w:rPr>
                <w:rFonts w:ascii="Calibri" w:hAnsi="Calibri" w:cs="Arial"/>
              </w:rPr>
              <w:t xml:space="preserve">British Paediatric Association Classification of Diseases: Modification Classification for NSW Register of Congenital Conditions </w:t>
            </w:r>
          </w:p>
        </w:tc>
      </w:tr>
      <w:tr w:rsidR="00864D4D" w:rsidRPr="00A56710" w:rsidTr="000546C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rsidR="00864D4D" w:rsidRDefault="00864D4D" w:rsidP="00544DE6">
            <w:pPr>
              <w:rPr>
                <w:rFonts w:ascii="Calibri" w:hAnsi="Calibri" w:cs="Arial"/>
                <w:color w:val="000000"/>
              </w:rPr>
            </w:pPr>
            <w:r>
              <w:rPr>
                <w:rFonts w:ascii="Calibri" w:hAnsi="Calibri" w:cs="Arial"/>
                <w:color w:val="000000"/>
              </w:rPr>
              <w:t>Congenital condition  position</w:t>
            </w:r>
          </w:p>
        </w:tc>
        <w:tc>
          <w:tcPr>
            <w:tcW w:w="5954" w:type="dxa"/>
          </w:tcPr>
          <w:p w:rsidR="00864D4D" w:rsidRPr="00E907E7" w:rsidRDefault="00864D4D">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Congenital condition position</w:t>
            </w:r>
          </w:p>
        </w:tc>
        <w:tc>
          <w:tcPr>
            <w:tcW w:w="5386" w:type="dxa"/>
          </w:tcPr>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1 = Right</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2 = Left</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3 = Bilateral</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4 = Unilateral (NOS)</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5 = Anterior</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6 = Posterior</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7 = Central/Midline</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8 = Not applicable</w:t>
            </w:r>
          </w:p>
          <w:p w:rsidR="00864D4D" w:rsidRDefault="00864D4D" w:rsidP="00E907E7">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9 = Not stated</w:t>
            </w:r>
          </w:p>
        </w:tc>
      </w:tr>
      <w:bookmarkEnd w:id="0"/>
    </w:tbl>
    <w:p w:rsidR="002D6535" w:rsidRPr="002A79F8" w:rsidRDefault="002D6535">
      <w:pPr>
        <w:rPr>
          <w:rFonts w:ascii="Arial" w:hAnsi="Arial" w:cs="Arial"/>
        </w:rPr>
        <w:sectPr w:rsidR="002D6535" w:rsidRPr="002A79F8" w:rsidSect="00B42EB0">
          <w:pgSz w:w="16838" w:h="11906" w:orient="landscape" w:code="9"/>
          <w:pgMar w:top="1440" w:right="1440" w:bottom="1440" w:left="1440" w:header="709" w:footer="709" w:gutter="0"/>
          <w:cols w:space="708"/>
          <w:docGrid w:linePitch="360"/>
        </w:sectPr>
      </w:pPr>
    </w:p>
    <w:p w:rsidR="0070283C" w:rsidRPr="002A79F8" w:rsidRDefault="0070283C">
      <w:pPr>
        <w:rPr>
          <w:rFonts w:ascii="Arial" w:hAnsi="Arial" w:cs="Arial"/>
        </w:rPr>
        <w:sectPr w:rsidR="0070283C" w:rsidRPr="002A79F8" w:rsidSect="00B42EB0">
          <w:pgSz w:w="11906" w:h="16838" w:code="9"/>
          <w:pgMar w:top="1440" w:right="1440" w:bottom="1440" w:left="1440" w:header="709" w:footer="709" w:gutter="0"/>
          <w:cols w:space="708"/>
          <w:docGrid w:linePitch="360"/>
        </w:sectPr>
      </w:pPr>
    </w:p>
    <w:p w:rsidR="00DA3470" w:rsidRDefault="00DA3470" w:rsidP="00DD3073">
      <w:pPr>
        <w:pStyle w:val="Heading1"/>
      </w:pPr>
      <w:r w:rsidRPr="000A7E86">
        <w:lastRenderedPageBreak/>
        <w:t xml:space="preserve">Attachment </w:t>
      </w:r>
      <w:r w:rsidR="00062DFD">
        <w:t>1</w:t>
      </w:r>
      <w:r w:rsidRPr="000A7E86">
        <w:t xml:space="preserve"> – </w:t>
      </w:r>
      <w:r w:rsidR="00EA1321">
        <w:t xml:space="preserve">Area </w:t>
      </w:r>
      <w:r>
        <w:t xml:space="preserve">Health </w:t>
      </w:r>
      <w:r w:rsidR="00825415">
        <w:t>Service</w:t>
      </w:r>
      <w:r w:rsidR="00022639">
        <w:t>s</w:t>
      </w:r>
      <w:r w:rsidR="00EA1321">
        <w:t xml:space="preserve"> (AHS)</w:t>
      </w:r>
      <w:r>
        <w:t xml:space="preserve"> </w:t>
      </w:r>
    </w:p>
    <w:p w:rsidR="00DD3073" w:rsidRPr="00DD3073" w:rsidRDefault="00DD3073" w:rsidP="00DD3073">
      <w:r>
        <w:tab/>
      </w:r>
    </w:p>
    <w:tbl>
      <w:tblPr>
        <w:tblStyle w:val="LightList-Accent11"/>
        <w:tblW w:w="6680" w:type="dxa"/>
        <w:tblLook w:val="04A0" w:firstRow="1" w:lastRow="0" w:firstColumn="1" w:lastColumn="0" w:noHBand="0" w:noVBand="1"/>
      </w:tblPr>
      <w:tblGrid>
        <w:gridCol w:w="1944"/>
        <w:gridCol w:w="4736"/>
      </w:tblGrid>
      <w:tr w:rsidR="00DD3073" w:rsidRPr="00DD3073" w:rsidTr="00DD30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orbel" w:eastAsia="Times New Roman" w:hAnsi="Corbel" w:cs="Calibri"/>
                <w:iCs/>
              </w:rPr>
            </w:pPr>
            <w:r w:rsidRPr="00DD3073">
              <w:rPr>
                <w:rFonts w:ascii="Corbel" w:eastAsia="Times New Roman" w:hAnsi="Corbel" w:cs="Calibri"/>
                <w:iCs/>
              </w:rPr>
              <w:t>Code</w:t>
            </w:r>
          </w:p>
        </w:tc>
        <w:tc>
          <w:tcPr>
            <w:tcW w:w="4736" w:type="dxa"/>
            <w:noWrap/>
            <w:hideMark/>
          </w:tcPr>
          <w:p w:rsidR="00DD3073" w:rsidRPr="00DD3073" w:rsidRDefault="00DD3073" w:rsidP="00DD3073">
            <w:pP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iCs/>
              </w:rPr>
            </w:pPr>
            <w:r w:rsidRPr="00DD3073">
              <w:rPr>
                <w:rFonts w:ascii="Corbel" w:eastAsia="Times New Roman" w:hAnsi="Corbel" w:cs="Calibri"/>
                <w:iCs/>
              </w:rPr>
              <w:t xml:space="preserve"> Description</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Calibri"/>
                <w:color w:val="000000"/>
                <w:sz w:val="24"/>
                <w:szCs w:val="24"/>
              </w:rPr>
              <w:t>X160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Children</w:t>
            </w:r>
            <w:r>
              <w:rPr>
                <w:rFonts w:ascii="Calibri" w:eastAsia="Times New Roman" w:hAnsi="Calibri" w:cs="Calibri"/>
                <w:color w:val="000000"/>
                <w:sz w:val="24"/>
                <w:szCs w:val="24"/>
              </w:rPr>
              <w:t>’</w:t>
            </w:r>
            <w:r w:rsidRPr="00DD3073">
              <w:rPr>
                <w:rFonts w:ascii="Calibri" w:eastAsia="Times New Roman" w:hAnsi="Calibri" w:cs="Calibri"/>
                <w:color w:val="000000"/>
                <w:sz w:val="24"/>
                <w:szCs w:val="24"/>
              </w:rPr>
              <w:t>s Hospital at Westmead</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X170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Justice Health</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X500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Sydney South West AHS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X510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South Eastern Sydney &amp; Illawarra AHS</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X520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Sydney West AHS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X530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Northern Sydney &amp; Central Coast AHS</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X540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Hunter &amp; New England AHS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X550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North Coast AHS</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X560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Greater Southern AHS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X570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Greater Western AHS</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X900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Ambulance Service of NSW</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X910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NSW Not Further Defined</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X920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Victoria</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X930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Queensland</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X940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South Australia</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X950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Western Australia</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X960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Tasmania</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X970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Northern Territory</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X980</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Australia Capital Territory</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X990</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Other Australian Territories</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X997</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Overseas Locality</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X998</w:t>
            </w:r>
          </w:p>
        </w:tc>
        <w:tc>
          <w:tcPr>
            <w:tcW w:w="4736"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 Fixed Locality</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4"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X999</w:t>
            </w:r>
          </w:p>
        </w:tc>
        <w:tc>
          <w:tcPr>
            <w:tcW w:w="4736"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Not Stated/Other</w:t>
            </w:r>
          </w:p>
        </w:tc>
      </w:tr>
    </w:tbl>
    <w:p w:rsidR="00011A44" w:rsidRDefault="00011A44">
      <w:pPr>
        <w:rPr>
          <w:rFonts w:ascii="Calibri" w:hAnsi="Calibri" w:cs="Arial"/>
          <w:sz w:val="24"/>
          <w:szCs w:val="24"/>
        </w:rPr>
      </w:pPr>
      <w:r>
        <w:rPr>
          <w:rFonts w:ascii="Calibri" w:hAnsi="Calibri" w:cs="Arial"/>
          <w:sz w:val="24"/>
          <w:szCs w:val="24"/>
        </w:rPr>
        <w:br w:type="page"/>
      </w:r>
    </w:p>
    <w:p w:rsidR="00011A44" w:rsidRDefault="00011A44" w:rsidP="00DD3073">
      <w:pPr>
        <w:pStyle w:val="Heading1"/>
      </w:pPr>
      <w:r w:rsidRPr="000A7E86">
        <w:lastRenderedPageBreak/>
        <w:t xml:space="preserve">Attachment </w:t>
      </w:r>
      <w:r>
        <w:t>2</w:t>
      </w:r>
      <w:r w:rsidRPr="000A7E86">
        <w:t xml:space="preserve"> – </w:t>
      </w:r>
      <w:r w:rsidR="0005420C">
        <w:t xml:space="preserve">Local </w:t>
      </w:r>
      <w:r w:rsidR="00846AE3">
        <w:t>Health District</w:t>
      </w:r>
      <w:r>
        <w:t xml:space="preserve">s </w:t>
      </w:r>
      <w:r w:rsidR="00EA1321">
        <w:t>(LHD)</w:t>
      </w:r>
    </w:p>
    <w:p w:rsidR="00DD3073" w:rsidRDefault="00DD3073" w:rsidP="00DD3073"/>
    <w:tbl>
      <w:tblPr>
        <w:tblStyle w:val="LightList-Accent11"/>
        <w:tblW w:w="5500" w:type="dxa"/>
        <w:tblLook w:val="04A0" w:firstRow="1" w:lastRow="0" w:firstColumn="1" w:lastColumn="0" w:noHBand="0" w:noVBand="1"/>
      </w:tblPr>
      <w:tblGrid>
        <w:gridCol w:w="1440"/>
        <w:gridCol w:w="4060"/>
      </w:tblGrid>
      <w:tr w:rsidR="00DD3073" w:rsidRPr="00DD3073" w:rsidTr="00DD307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orbel" w:eastAsia="Times New Roman" w:hAnsi="Corbel" w:cs="Calibri"/>
                <w:iCs/>
              </w:rPr>
            </w:pPr>
            <w:r w:rsidRPr="00DD3073">
              <w:rPr>
                <w:rFonts w:ascii="Corbel" w:eastAsia="Times New Roman" w:hAnsi="Corbel" w:cs="Calibri"/>
                <w:iCs/>
              </w:rPr>
              <w:t>Code</w:t>
            </w:r>
          </w:p>
        </w:tc>
        <w:tc>
          <w:tcPr>
            <w:tcW w:w="4060" w:type="dxa"/>
            <w:noWrap/>
            <w:hideMark/>
          </w:tcPr>
          <w:p w:rsidR="00DD3073" w:rsidRPr="00DD3073" w:rsidRDefault="00DD3073" w:rsidP="00DD3073">
            <w:pPr>
              <w:cnfStyle w:val="100000000000" w:firstRow="1" w:lastRow="0" w:firstColumn="0" w:lastColumn="0" w:oddVBand="0" w:evenVBand="0" w:oddHBand="0" w:evenHBand="0" w:firstRowFirstColumn="0" w:firstRowLastColumn="0" w:lastRowFirstColumn="0" w:lastRowLastColumn="0"/>
              <w:rPr>
                <w:rFonts w:ascii="Corbel" w:eastAsia="Times New Roman" w:hAnsi="Corbel" w:cs="Calibri"/>
                <w:iCs/>
              </w:rPr>
            </w:pPr>
            <w:r w:rsidRPr="00DD3073">
              <w:rPr>
                <w:rFonts w:ascii="Corbel" w:eastAsia="Times New Roman" w:hAnsi="Corbel" w:cs="Calibri"/>
                <w:iCs/>
              </w:rPr>
              <w:t xml:space="preserve"> Description</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X700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Sydney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X710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South Western Sydney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X720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South Eastern Sydney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X730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Illawarra Shoalhaven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X740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Western Sydney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X750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Nepean Blue Mountains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X760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Northern Sydney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X770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Central Coast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X800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Hunter New England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X810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Northern NSW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X820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Mid North Coast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X830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Southern NSW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X840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Murrumbidgee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X850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Western NSW LHD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X860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Far West LHD </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X630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Sydney Children’s Hospitals Network</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X690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St Vincent’s Health Network</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X180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Forensic Mental Health Network</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X170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Justice Health</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X910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NSW not further specified</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X920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Victoria</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X921</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 xml:space="preserve">Albury (Victoria in-reach) </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X930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Queensland</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X940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South Australia</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X950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Western Australia</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X960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Tasmania</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X970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Northern Territory</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X980</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Australian Capital Territory</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X990</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Other Australian Territories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X997</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Overseas Locality</w:t>
            </w:r>
          </w:p>
        </w:tc>
      </w:tr>
      <w:tr w:rsidR="00DD3073" w:rsidRPr="00DD3073" w:rsidTr="00DD30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X998</w:t>
            </w:r>
          </w:p>
        </w:tc>
        <w:tc>
          <w:tcPr>
            <w:tcW w:w="4060" w:type="dxa"/>
            <w:noWrap/>
            <w:hideMark/>
          </w:tcPr>
          <w:p w:rsidR="00DD3073" w:rsidRPr="00DD3073" w:rsidRDefault="00DD3073" w:rsidP="00DD30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No Fixed Address</w:t>
            </w:r>
          </w:p>
        </w:tc>
      </w:tr>
      <w:tr w:rsidR="00DD3073" w:rsidRPr="00DD3073" w:rsidTr="00DD3073">
        <w:trPr>
          <w:trHeight w:val="315"/>
        </w:trPr>
        <w:tc>
          <w:tcPr>
            <w:cnfStyle w:val="001000000000" w:firstRow="0" w:lastRow="0" w:firstColumn="1" w:lastColumn="0" w:oddVBand="0" w:evenVBand="0" w:oddHBand="0" w:evenHBand="0" w:firstRowFirstColumn="0" w:firstRowLastColumn="0" w:lastRowFirstColumn="0" w:lastRowLastColumn="0"/>
            <w:tcW w:w="1440" w:type="dxa"/>
            <w:noWrap/>
            <w:hideMark/>
          </w:tcPr>
          <w:p w:rsidR="00DD3073" w:rsidRPr="00DD3073" w:rsidRDefault="00DD3073" w:rsidP="00DD3073">
            <w:pPr>
              <w:rPr>
                <w:rFonts w:ascii="Calibri" w:eastAsia="Times New Roman" w:hAnsi="Calibri" w:cs="Calibri"/>
                <w:color w:val="000000"/>
                <w:sz w:val="24"/>
                <w:szCs w:val="24"/>
              </w:rPr>
            </w:pPr>
            <w:r w:rsidRPr="00DD3073">
              <w:rPr>
                <w:rFonts w:ascii="Calibri" w:eastAsia="Times New Roman" w:hAnsi="Calibri" w:cs="Arial"/>
                <w:color w:val="000000"/>
                <w:sz w:val="24"/>
                <w:szCs w:val="24"/>
              </w:rPr>
              <w:t>9999</w:t>
            </w:r>
          </w:p>
        </w:tc>
        <w:tc>
          <w:tcPr>
            <w:tcW w:w="4060" w:type="dxa"/>
            <w:noWrap/>
            <w:hideMark/>
          </w:tcPr>
          <w:p w:rsidR="00DD3073" w:rsidRPr="00DD3073" w:rsidRDefault="00DD3073" w:rsidP="00DD30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r w:rsidRPr="00DD3073">
              <w:rPr>
                <w:rFonts w:ascii="Calibri" w:eastAsia="Times New Roman" w:hAnsi="Calibri" w:cs="Calibri"/>
                <w:color w:val="000000"/>
                <w:sz w:val="24"/>
                <w:szCs w:val="24"/>
              </w:rPr>
              <w:t>Missing</w:t>
            </w:r>
          </w:p>
        </w:tc>
      </w:tr>
    </w:tbl>
    <w:p w:rsidR="00DD3073" w:rsidRPr="00DD3073" w:rsidRDefault="00DD3073" w:rsidP="00DD3073"/>
    <w:sectPr w:rsidR="00DD3073" w:rsidRPr="00DD3073" w:rsidSect="00DD3073">
      <w:type w:val="continuous"/>
      <w:pgSz w:w="11906" w:h="16838" w:code="9"/>
      <w:pgMar w:top="1440" w:right="1126" w:bottom="1440" w:left="1440"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4D" w:rsidRDefault="00864D4D" w:rsidP="00D65965">
      <w:r>
        <w:separator/>
      </w:r>
    </w:p>
  </w:endnote>
  <w:endnote w:type="continuationSeparator" w:id="0">
    <w:p w:rsidR="00864D4D" w:rsidRDefault="00864D4D"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8C" w:rsidRDefault="00E80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864D4D" w:rsidTr="00F00049">
      <w:tc>
        <w:tcPr>
          <w:tcW w:w="216" w:type="pct"/>
        </w:tcPr>
        <w:p w:rsidR="00864D4D" w:rsidRPr="00646513" w:rsidRDefault="00CF4559" w:rsidP="00F00049">
          <w:pPr>
            <w:pStyle w:val="Footer"/>
            <w:rPr>
              <w:rFonts w:ascii="Corbel" w:hAnsi="Corbel"/>
              <w:color w:val="53548A" w:themeColor="accent1"/>
            </w:rPr>
          </w:pPr>
          <w:r w:rsidRPr="00646513">
            <w:rPr>
              <w:rFonts w:ascii="Corbel" w:hAnsi="Corbel"/>
            </w:rPr>
            <w:fldChar w:fldCharType="begin"/>
          </w:r>
          <w:r w:rsidR="00864D4D" w:rsidRPr="00646513">
            <w:rPr>
              <w:rFonts w:ascii="Corbel" w:hAnsi="Corbel"/>
            </w:rPr>
            <w:instrText xml:space="preserve"> PAGE   \* MERGEFORMAT </w:instrText>
          </w:r>
          <w:r w:rsidRPr="00646513">
            <w:rPr>
              <w:rFonts w:ascii="Corbel" w:hAnsi="Corbel"/>
            </w:rPr>
            <w:fldChar w:fldCharType="separate"/>
          </w:r>
          <w:r w:rsidR="00274F17" w:rsidRPr="00274F17">
            <w:rPr>
              <w:rFonts w:ascii="Corbel" w:hAnsi="Corbel"/>
              <w:noProof/>
              <w:color w:val="53548A" w:themeColor="accent1"/>
            </w:rPr>
            <w:t>8</w:t>
          </w:r>
          <w:r w:rsidRPr="00646513">
            <w:rPr>
              <w:rFonts w:ascii="Corbel" w:hAnsi="Corbel"/>
              <w:noProof/>
              <w:color w:val="53548A" w:themeColor="accent1"/>
            </w:rPr>
            <w:fldChar w:fldCharType="end"/>
          </w:r>
        </w:p>
      </w:tc>
      <w:tc>
        <w:tcPr>
          <w:tcW w:w="4784" w:type="pct"/>
        </w:tcPr>
        <w:p w:rsidR="00864D4D" w:rsidRPr="00646513" w:rsidRDefault="00864D4D" w:rsidP="00274F17">
          <w:pPr>
            <w:pStyle w:val="Footer"/>
            <w:rPr>
              <w:rFonts w:ascii="Corbel" w:hAnsi="Corbel"/>
              <w:color w:val="53548A" w:themeColor="accent1"/>
            </w:rPr>
          </w:pPr>
          <w:r>
            <w:rPr>
              <w:rFonts w:ascii="Corbel" w:hAnsi="Corbel"/>
              <w:color w:val="53548A" w:themeColor="accent1"/>
            </w:rPr>
            <w:t>Register of Congenital Conditions</w:t>
          </w:r>
          <w:r w:rsidR="00F67A7E">
            <w:rPr>
              <w:rFonts w:ascii="Corbel" w:hAnsi="Corbel"/>
              <w:color w:val="53548A" w:themeColor="accent1"/>
            </w:rPr>
            <w:t xml:space="preserve">                                                                     Last updated </w:t>
          </w:r>
          <w:r w:rsidR="00274F17">
            <w:rPr>
              <w:rFonts w:ascii="Corbel" w:hAnsi="Corbel"/>
              <w:color w:val="53548A" w:themeColor="accent1"/>
            </w:rPr>
            <w:t>October 2017</w:t>
          </w:r>
        </w:p>
      </w:tc>
    </w:tr>
  </w:tbl>
  <w:p w:rsidR="00864D4D" w:rsidRDefault="00864D4D" w:rsidP="00F67A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8C" w:rsidRDefault="00E80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4D" w:rsidRDefault="00864D4D" w:rsidP="00D65965">
      <w:r>
        <w:separator/>
      </w:r>
    </w:p>
  </w:footnote>
  <w:footnote w:type="continuationSeparator" w:id="0">
    <w:p w:rsidR="00864D4D" w:rsidRDefault="00864D4D" w:rsidP="00D65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8C" w:rsidRDefault="00E80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8C" w:rsidRDefault="00E80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8C" w:rsidRDefault="00E80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2D51C5"/>
    <w:multiLevelType w:val="hybridMultilevel"/>
    <w:tmpl w:val="8BD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FB850F8"/>
    <w:multiLevelType w:val="hybridMultilevel"/>
    <w:tmpl w:val="E9F2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6F67B7A"/>
    <w:multiLevelType w:val="hybridMultilevel"/>
    <w:tmpl w:val="944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1"/>
  </w:num>
  <w:num w:numId="4">
    <w:abstractNumId w:val="8"/>
  </w:num>
  <w:num w:numId="5">
    <w:abstractNumId w:val="18"/>
  </w:num>
  <w:num w:numId="6">
    <w:abstractNumId w:val="12"/>
  </w:num>
  <w:num w:numId="7">
    <w:abstractNumId w:val="16"/>
  </w:num>
  <w:num w:numId="8">
    <w:abstractNumId w:val="14"/>
  </w:num>
  <w:num w:numId="9">
    <w:abstractNumId w:val="10"/>
  </w:num>
  <w:num w:numId="10">
    <w:abstractNumId w:val="2"/>
  </w:num>
  <w:num w:numId="11">
    <w:abstractNumId w:val="3"/>
  </w:num>
  <w:num w:numId="12">
    <w:abstractNumId w:val="9"/>
  </w:num>
  <w:num w:numId="13">
    <w:abstractNumId w:val="6"/>
  </w:num>
  <w:num w:numId="14">
    <w:abstractNumId w:val="19"/>
  </w:num>
  <w:num w:numId="15">
    <w:abstractNumId w:val="15"/>
  </w:num>
  <w:num w:numId="16">
    <w:abstractNumId w:val="20"/>
  </w:num>
  <w:num w:numId="17">
    <w:abstractNumId w:val="13"/>
  </w:num>
  <w:num w:numId="18">
    <w:abstractNumId w:val="4"/>
  </w:num>
  <w:num w:numId="19">
    <w:abstractNumId w:val="5"/>
  </w:num>
  <w:num w:numId="20">
    <w:abstractNumId w:val="7"/>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oNotShadeFormData/>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A"/>
    <w:rsid w:val="00011A44"/>
    <w:rsid w:val="00013E1A"/>
    <w:rsid w:val="0001624A"/>
    <w:rsid w:val="00022639"/>
    <w:rsid w:val="00026A71"/>
    <w:rsid w:val="0003089C"/>
    <w:rsid w:val="00035565"/>
    <w:rsid w:val="0004138F"/>
    <w:rsid w:val="00042765"/>
    <w:rsid w:val="0005420C"/>
    <w:rsid w:val="000546C1"/>
    <w:rsid w:val="00062DFD"/>
    <w:rsid w:val="000842B6"/>
    <w:rsid w:val="00087A52"/>
    <w:rsid w:val="000968B5"/>
    <w:rsid w:val="000A055E"/>
    <w:rsid w:val="000A7E86"/>
    <w:rsid w:val="000E54E1"/>
    <w:rsid w:val="000E6AEF"/>
    <w:rsid w:val="000F3455"/>
    <w:rsid w:val="000F5D4F"/>
    <w:rsid w:val="00124B9F"/>
    <w:rsid w:val="0013216B"/>
    <w:rsid w:val="00144E32"/>
    <w:rsid w:val="0016315E"/>
    <w:rsid w:val="001815F0"/>
    <w:rsid w:val="00183155"/>
    <w:rsid w:val="00194DD7"/>
    <w:rsid w:val="001A14C1"/>
    <w:rsid w:val="001A1625"/>
    <w:rsid w:val="001B0E02"/>
    <w:rsid w:val="001B2D80"/>
    <w:rsid w:val="001B4E2B"/>
    <w:rsid w:val="001D3415"/>
    <w:rsid w:val="001E72E6"/>
    <w:rsid w:val="0020235D"/>
    <w:rsid w:val="00206040"/>
    <w:rsid w:val="00206C39"/>
    <w:rsid w:val="00215F58"/>
    <w:rsid w:val="002271AE"/>
    <w:rsid w:val="00274F17"/>
    <w:rsid w:val="00275C74"/>
    <w:rsid w:val="00280E5C"/>
    <w:rsid w:val="00284A1A"/>
    <w:rsid w:val="002919A8"/>
    <w:rsid w:val="0029621F"/>
    <w:rsid w:val="002A79F8"/>
    <w:rsid w:val="002B629E"/>
    <w:rsid w:val="002B6D18"/>
    <w:rsid w:val="002C244C"/>
    <w:rsid w:val="002C6D07"/>
    <w:rsid w:val="002D28A7"/>
    <w:rsid w:val="002D6535"/>
    <w:rsid w:val="002F7C37"/>
    <w:rsid w:val="00305A7A"/>
    <w:rsid w:val="00306A37"/>
    <w:rsid w:val="00310850"/>
    <w:rsid w:val="00315322"/>
    <w:rsid w:val="00346F21"/>
    <w:rsid w:val="00347FE1"/>
    <w:rsid w:val="0035636C"/>
    <w:rsid w:val="00362526"/>
    <w:rsid w:val="0038007A"/>
    <w:rsid w:val="00384B68"/>
    <w:rsid w:val="00393AB0"/>
    <w:rsid w:val="003D7765"/>
    <w:rsid w:val="003E02F9"/>
    <w:rsid w:val="003E1499"/>
    <w:rsid w:val="003F0A78"/>
    <w:rsid w:val="003F4A67"/>
    <w:rsid w:val="00431E51"/>
    <w:rsid w:val="00440E44"/>
    <w:rsid w:val="004504F6"/>
    <w:rsid w:val="00450FC6"/>
    <w:rsid w:val="00451460"/>
    <w:rsid w:val="00466615"/>
    <w:rsid w:val="0049789A"/>
    <w:rsid w:val="004A5246"/>
    <w:rsid w:val="004B60AC"/>
    <w:rsid w:val="004B6110"/>
    <w:rsid w:val="004C113D"/>
    <w:rsid w:val="004C2CAE"/>
    <w:rsid w:val="004E4331"/>
    <w:rsid w:val="005269E7"/>
    <w:rsid w:val="005303E8"/>
    <w:rsid w:val="0053793A"/>
    <w:rsid w:val="00544DE6"/>
    <w:rsid w:val="005505E3"/>
    <w:rsid w:val="005509B2"/>
    <w:rsid w:val="00563EFE"/>
    <w:rsid w:val="00564F69"/>
    <w:rsid w:val="0058750A"/>
    <w:rsid w:val="005911FA"/>
    <w:rsid w:val="005919B2"/>
    <w:rsid w:val="00592C5F"/>
    <w:rsid w:val="005B4377"/>
    <w:rsid w:val="005B5DAD"/>
    <w:rsid w:val="005C31E0"/>
    <w:rsid w:val="005C669B"/>
    <w:rsid w:val="005C680C"/>
    <w:rsid w:val="005D33AA"/>
    <w:rsid w:val="005E2800"/>
    <w:rsid w:val="005E79E6"/>
    <w:rsid w:val="00613C57"/>
    <w:rsid w:val="00615234"/>
    <w:rsid w:val="006302A2"/>
    <w:rsid w:val="00633025"/>
    <w:rsid w:val="00640ED8"/>
    <w:rsid w:val="00641B87"/>
    <w:rsid w:val="00646513"/>
    <w:rsid w:val="00651362"/>
    <w:rsid w:val="00665E92"/>
    <w:rsid w:val="00673357"/>
    <w:rsid w:val="006912C3"/>
    <w:rsid w:val="006A08AA"/>
    <w:rsid w:val="006C7A21"/>
    <w:rsid w:val="006D38EF"/>
    <w:rsid w:val="006D71DE"/>
    <w:rsid w:val="006E72EA"/>
    <w:rsid w:val="006F657A"/>
    <w:rsid w:val="0070283C"/>
    <w:rsid w:val="00706E92"/>
    <w:rsid w:val="00714F8C"/>
    <w:rsid w:val="00715003"/>
    <w:rsid w:val="007173DD"/>
    <w:rsid w:val="00735AC3"/>
    <w:rsid w:val="00737086"/>
    <w:rsid w:val="00745256"/>
    <w:rsid w:val="0075539D"/>
    <w:rsid w:val="00772709"/>
    <w:rsid w:val="00774A5A"/>
    <w:rsid w:val="007822F9"/>
    <w:rsid w:val="007866E6"/>
    <w:rsid w:val="007943D9"/>
    <w:rsid w:val="007A6A37"/>
    <w:rsid w:val="007D3291"/>
    <w:rsid w:val="007E1A4A"/>
    <w:rsid w:val="007E34DE"/>
    <w:rsid w:val="007E5895"/>
    <w:rsid w:val="00802133"/>
    <w:rsid w:val="0080436B"/>
    <w:rsid w:val="0082217B"/>
    <w:rsid w:val="00824E33"/>
    <w:rsid w:val="00825415"/>
    <w:rsid w:val="008365B3"/>
    <w:rsid w:val="00836F78"/>
    <w:rsid w:val="00846AE3"/>
    <w:rsid w:val="00846B95"/>
    <w:rsid w:val="00850003"/>
    <w:rsid w:val="00850863"/>
    <w:rsid w:val="00852D21"/>
    <w:rsid w:val="00855EE7"/>
    <w:rsid w:val="00864D4D"/>
    <w:rsid w:val="00870516"/>
    <w:rsid w:val="00873C67"/>
    <w:rsid w:val="008952CB"/>
    <w:rsid w:val="008978A5"/>
    <w:rsid w:val="008A5DE9"/>
    <w:rsid w:val="008B52CC"/>
    <w:rsid w:val="008C1B7B"/>
    <w:rsid w:val="00906B7F"/>
    <w:rsid w:val="00912A28"/>
    <w:rsid w:val="009157DF"/>
    <w:rsid w:val="00922301"/>
    <w:rsid w:val="009403A1"/>
    <w:rsid w:val="009612D9"/>
    <w:rsid w:val="0096739F"/>
    <w:rsid w:val="009A03F3"/>
    <w:rsid w:val="009B3732"/>
    <w:rsid w:val="009B6893"/>
    <w:rsid w:val="009E4B93"/>
    <w:rsid w:val="009F5F41"/>
    <w:rsid w:val="00A01561"/>
    <w:rsid w:val="00A034B0"/>
    <w:rsid w:val="00A17159"/>
    <w:rsid w:val="00A26918"/>
    <w:rsid w:val="00A26B43"/>
    <w:rsid w:val="00A3472D"/>
    <w:rsid w:val="00A4027E"/>
    <w:rsid w:val="00A47363"/>
    <w:rsid w:val="00A56710"/>
    <w:rsid w:val="00A70BA1"/>
    <w:rsid w:val="00A7673C"/>
    <w:rsid w:val="00A84404"/>
    <w:rsid w:val="00A86366"/>
    <w:rsid w:val="00A96FF7"/>
    <w:rsid w:val="00A9749E"/>
    <w:rsid w:val="00AC5418"/>
    <w:rsid w:val="00AD2EF7"/>
    <w:rsid w:val="00AD723A"/>
    <w:rsid w:val="00AE46AC"/>
    <w:rsid w:val="00AE49A8"/>
    <w:rsid w:val="00AE6272"/>
    <w:rsid w:val="00AF3CBF"/>
    <w:rsid w:val="00AF71F5"/>
    <w:rsid w:val="00B03B63"/>
    <w:rsid w:val="00B11051"/>
    <w:rsid w:val="00B143FA"/>
    <w:rsid w:val="00B24C27"/>
    <w:rsid w:val="00B26D3F"/>
    <w:rsid w:val="00B32323"/>
    <w:rsid w:val="00B35CB7"/>
    <w:rsid w:val="00B37AC4"/>
    <w:rsid w:val="00B37AD6"/>
    <w:rsid w:val="00B42EB0"/>
    <w:rsid w:val="00B62003"/>
    <w:rsid w:val="00B7702A"/>
    <w:rsid w:val="00B83F9B"/>
    <w:rsid w:val="00B918DB"/>
    <w:rsid w:val="00B93334"/>
    <w:rsid w:val="00BC2D55"/>
    <w:rsid w:val="00BC567D"/>
    <w:rsid w:val="00BD160A"/>
    <w:rsid w:val="00BE223E"/>
    <w:rsid w:val="00BE53AE"/>
    <w:rsid w:val="00BE5D96"/>
    <w:rsid w:val="00BE781D"/>
    <w:rsid w:val="00C05620"/>
    <w:rsid w:val="00C05D69"/>
    <w:rsid w:val="00C06E0C"/>
    <w:rsid w:val="00C120E5"/>
    <w:rsid w:val="00C13A01"/>
    <w:rsid w:val="00C14CA2"/>
    <w:rsid w:val="00C16763"/>
    <w:rsid w:val="00C204E2"/>
    <w:rsid w:val="00C257A6"/>
    <w:rsid w:val="00C279AC"/>
    <w:rsid w:val="00C27A7E"/>
    <w:rsid w:val="00C3639E"/>
    <w:rsid w:val="00C5153D"/>
    <w:rsid w:val="00C517DA"/>
    <w:rsid w:val="00C53759"/>
    <w:rsid w:val="00C537CC"/>
    <w:rsid w:val="00C614BE"/>
    <w:rsid w:val="00C640E0"/>
    <w:rsid w:val="00C72379"/>
    <w:rsid w:val="00C75658"/>
    <w:rsid w:val="00C84479"/>
    <w:rsid w:val="00C97233"/>
    <w:rsid w:val="00C97636"/>
    <w:rsid w:val="00CA041A"/>
    <w:rsid w:val="00CA4CDD"/>
    <w:rsid w:val="00CC027C"/>
    <w:rsid w:val="00CC3E07"/>
    <w:rsid w:val="00CC5BBA"/>
    <w:rsid w:val="00CD1602"/>
    <w:rsid w:val="00CE70BD"/>
    <w:rsid w:val="00CF4559"/>
    <w:rsid w:val="00D00437"/>
    <w:rsid w:val="00D107BE"/>
    <w:rsid w:val="00D271D9"/>
    <w:rsid w:val="00D36A05"/>
    <w:rsid w:val="00D4059E"/>
    <w:rsid w:val="00D45CB5"/>
    <w:rsid w:val="00D46F02"/>
    <w:rsid w:val="00D631B3"/>
    <w:rsid w:val="00D65965"/>
    <w:rsid w:val="00D66602"/>
    <w:rsid w:val="00D67A32"/>
    <w:rsid w:val="00D77B12"/>
    <w:rsid w:val="00D80D9C"/>
    <w:rsid w:val="00D84B6E"/>
    <w:rsid w:val="00DA3470"/>
    <w:rsid w:val="00DA416C"/>
    <w:rsid w:val="00DA6D50"/>
    <w:rsid w:val="00DB1982"/>
    <w:rsid w:val="00DD3073"/>
    <w:rsid w:val="00DD534B"/>
    <w:rsid w:val="00DD62B6"/>
    <w:rsid w:val="00DE3801"/>
    <w:rsid w:val="00E05F4A"/>
    <w:rsid w:val="00E33CFF"/>
    <w:rsid w:val="00E35AD3"/>
    <w:rsid w:val="00E458C4"/>
    <w:rsid w:val="00E46141"/>
    <w:rsid w:val="00E56386"/>
    <w:rsid w:val="00E578B5"/>
    <w:rsid w:val="00E6064B"/>
    <w:rsid w:val="00E71174"/>
    <w:rsid w:val="00E80F8C"/>
    <w:rsid w:val="00E864C0"/>
    <w:rsid w:val="00E9028B"/>
    <w:rsid w:val="00E907E7"/>
    <w:rsid w:val="00E93696"/>
    <w:rsid w:val="00EA07F2"/>
    <w:rsid w:val="00EA1321"/>
    <w:rsid w:val="00EB65AB"/>
    <w:rsid w:val="00EC58EB"/>
    <w:rsid w:val="00EF70A2"/>
    <w:rsid w:val="00F00049"/>
    <w:rsid w:val="00F00A62"/>
    <w:rsid w:val="00F07B67"/>
    <w:rsid w:val="00F10270"/>
    <w:rsid w:val="00F140B4"/>
    <w:rsid w:val="00F26360"/>
    <w:rsid w:val="00F26903"/>
    <w:rsid w:val="00F26D02"/>
    <w:rsid w:val="00F31835"/>
    <w:rsid w:val="00F4138A"/>
    <w:rsid w:val="00F511ED"/>
    <w:rsid w:val="00F56B41"/>
    <w:rsid w:val="00F66C5A"/>
    <w:rsid w:val="00F67A7E"/>
    <w:rsid w:val="00F83DDD"/>
    <w:rsid w:val="00F84522"/>
    <w:rsid w:val="00F94E58"/>
    <w:rsid w:val="00F9598E"/>
    <w:rsid w:val="00FB25CF"/>
    <w:rsid w:val="00FB3B3D"/>
    <w:rsid w:val="00FB5C05"/>
    <w:rsid w:val="00FB5F3F"/>
    <w:rsid w:val="00FD16D1"/>
    <w:rsid w:val="00FD34CA"/>
    <w:rsid w:val="00FE0435"/>
    <w:rsid w:val="00FE108F"/>
    <w:rsid w:val="00FF4221"/>
    <w:rsid w:val="00FF4ED7"/>
    <w:rsid w:val="00FF52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21021">
      <w:bodyDiv w:val="1"/>
      <w:marLeft w:val="0"/>
      <w:marRight w:val="0"/>
      <w:marTop w:val="0"/>
      <w:marBottom w:val="0"/>
      <w:divBdr>
        <w:top w:val="none" w:sz="0" w:space="0" w:color="auto"/>
        <w:left w:val="none" w:sz="0" w:space="0" w:color="auto"/>
        <w:bottom w:val="none" w:sz="0" w:space="0" w:color="auto"/>
        <w:right w:val="none" w:sz="0" w:space="0" w:color="auto"/>
      </w:divBdr>
    </w:div>
    <w:div w:id="381441951">
      <w:bodyDiv w:val="1"/>
      <w:marLeft w:val="0"/>
      <w:marRight w:val="0"/>
      <w:marTop w:val="0"/>
      <w:marBottom w:val="0"/>
      <w:divBdr>
        <w:top w:val="none" w:sz="0" w:space="0" w:color="auto"/>
        <w:left w:val="none" w:sz="0" w:space="0" w:color="auto"/>
        <w:bottom w:val="none" w:sz="0" w:space="0" w:color="auto"/>
        <w:right w:val="none" w:sz="0" w:space="0" w:color="auto"/>
      </w:divBdr>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865404828">
      <w:bodyDiv w:val="1"/>
      <w:marLeft w:val="0"/>
      <w:marRight w:val="0"/>
      <w:marTop w:val="0"/>
      <w:marBottom w:val="0"/>
      <w:divBdr>
        <w:top w:val="none" w:sz="0" w:space="0" w:color="auto"/>
        <w:left w:val="none" w:sz="0" w:space="0" w:color="auto"/>
        <w:bottom w:val="none" w:sz="0" w:space="0" w:color="auto"/>
        <w:right w:val="none" w:sz="0" w:space="0" w:color="auto"/>
      </w:divBdr>
    </w:div>
    <w:div w:id="1035619284">
      <w:bodyDiv w:val="1"/>
      <w:marLeft w:val="0"/>
      <w:marRight w:val="0"/>
      <w:marTop w:val="0"/>
      <w:marBottom w:val="0"/>
      <w:divBdr>
        <w:top w:val="none" w:sz="0" w:space="0" w:color="auto"/>
        <w:left w:val="none" w:sz="0" w:space="0" w:color="auto"/>
        <w:bottom w:val="none" w:sz="0" w:space="0" w:color="auto"/>
        <w:right w:val="none" w:sz="0" w:space="0" w:color="auto"/>
      </w:divBdr>
    </w:div>
    <w:div w:id="1093015485">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99">
      <w:bodyDiv w:val="1"/>
      <w:marLeft w:val="0"/>
      <w:marRight w:val="0"/>
      <w:marTop w:val="0"/>
      <w:marBottom w:val="0"/>
      <w:divBdr>
        <w:top w:val="none" w:sz="0" w:space="0" w:color="auto"/>
        <w:left w:val="none" w:sz="0" w:space="0" w:color="auto"/>
        <w:bottom w:val="none" w:sz="0" w:space="0" w:color="auto"/>
        <w:right w:val="none" w:sz="0" w:space="0" w:color="auto"/>
      </w:divBdr>
    </w:div>
    <w:div w:id="1603956406">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786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abs.gov.au/ausstats/abs@.nsf/mf/1269.0" TargetMode="External"/><Relationship Id="rId7" Type="http://schemas.openxmlformats.org/officeDocument/2006/relationships/webSettings" Target="webSettings.xml"/><Relationship Id="rId12" Type="http://schemas.openxmlformats.org/officeDocument/2006/relationships/hyperlink" Target="http://www.health.nsw.gov.au/hsnsw/Publications/rocc-apd-linkage-stud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bs.gov.au/ausstats/abs@.nsf/mf/121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hmrc.org.a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health.nsw.gov.au/hsnsw/Pages/mothers-and-babies-reports.aspx" TargetMode="External"/><Relationship Id="rId19" Type="http://schemas.openxmlformats.org/officeDocument/2006/relationships/hyperlink" Target="mailto:tim.harrold@moh.health.nsw.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F9E30F-C56C-471D-89E6-83CB87A6E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1720</Words>
  <Characters>9804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ROCC Data Dictionary</vt:lpstr>
    </vt:vector>
  </TitlesOfParts>
  <Company>Cancer Institute NSW</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ROCC Data Dictionary</dc:title>
  <dc:creator>htard</dc:creator>
  <dc:description>Register of Congenital Conditions Data Dictionary</dc:description>
  <cp:lastModifiedBy>HARROLD, Tim</cp:lastModifiedBy>
  <cp:revision>2</cp:revision>
  <cp:lastPrinted>2011-06-08T22:35:00Z</cp:lastPrinted>
  <dcterms:created xsi:type="dcterms:W3CDTF">2017-10-24T22:54:00Z</dcterms:created>
  <dcterms:modified xsi:type="dcterms:W3CDTF">2017-10-24T22:54:00Z</dcterms:modified>
</cp:coreProperties>
</file>