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EF005" w14:textId="77777777" w:rsidR="006E72EA" w:rsidRPr="00B24C27" w:rsidRDefault="00691EAA" w:rsidP="00A56710">
      <w:pPr>
        <w:pStyle w:val="Title"/>
        <w:spacing w:after="0"/>
        <w:rPr>
          <w:rFonts w:ascii="Corbel" w:hAnsi="Corbel"/>
          <w:b/>
          <w:color w:val="3E3E67" w:themeColor="accent1" w:themeShade="BF"/>
        </w:rPr>
      </w:pPr>
      <w:r>
        <w:rPr>
          <w:rFonts w:ascii="Corbel" w:hAnsi="Corbel"/>
          <w:b/>
          <w:color w:val="3E3E67" w:themeColor="accent1" w:themeShade="BF"/>
        </w:rPr>
        <w:t>Non-</w:t>
      </w:r>
      <w:r w:rsidR="00F55B79">
        <w:rPr>
          <w:rFonts w:ascii="Corbel" w:hAnsi="Corbel"/>
          <w:b/>
          <w:color w:val="3E3E67" w:themeColor="accent1" w:themeShade="BF"/>
        </w:rPr>
        <w:t xml:space="preserve">Admitted Patient Data </w:t>
      </w:r>
      <w:r w:rsidR="00546DB4">
        <w:rPr>
          <w:rFonts w:ascii="Corbel" w:hAnsi="Corbel"/>
          <w:b/>
          <w:color w:val="3E3E67" w:themeColor="accent1" w:themeShade="BF"/>
        </w:rPr>
        <w:t>Collection</w:t>
      </w:r>
    </w:p>
    <w:p w14:paraId="152AC9F6" w14:textId="77777777" w:rsidR="00275C74" w:rsidRPr="009F6226" w:rsidRDefault="00E55AB6" w:rsidP="009F6226">
      <w:pPr>
        <w:pStyle w:val="Subtitle"/>
        <w:ind w:left="5040"/>
        <w:rPr>
          <w:rFonts w:ascii="Corbel" w:hAnsi="Corbel"/>
          <w:b/>
          <w:sz w:val="32"/>
          <w:szCs w:val="32"/>
        </w:rPr>
      </w:pPr>
      <w:r w:rsidRPr="009F6226">
        <w:rPr>
          <w:rFonts w:ascii="Corbel" w:hAnsi="Corbel"/>
          <w:sz w:val="32"/>
          <w:szCs w:val="32"/>
        </w:rPr>
        <w:t>NSW Ministry</w:t>
      </w:r>
      <w:r w:rsidR="00FB3B3D" w:rsidRPr="009F6226">
        <w:rPr>
          <w:rFonts w:ascii="Corbel" w:hAnsi="Corbel"/>
          <w:sz w:val="32"/>
          <w:szCs w:val="32"/>
        </w:rPr>
        <w:t xml:space="preserve"> of Health</w:t>
      </w:r>
    </w:p>
    <w:p w14:paraId="25929A31" w14:textId="77777777" w:rsidR="00F10270" w:rsidRPr="000A7E86" w:rsidRDefault="00F10270" w:rsidP="009F6226">
      <w:pPr>
        <w:pStyle w:val="Heading2"/>
      </w:pPr>
      <w:r w:rsidRPr="000A7E86">
        <w:t>Background</w:t>
      </w:r>
    </w:p>
    <w:p w14:paraId="043209A5" w14:textId="77777777" w:rsidR="00F92A00" w:rsidRDefault="00BA2BAC" w:rsidP="008B20B8">
      <w:pPr>
        <w:pStyle w:val="Heading2"/>
        <w:spacing w:before="100"/>
        <w:rPr>
          <w:rFonts w:ascii="Calibri" w:eastAsiaTheme="minorEastAsia" w:hAnsi="Calibri" w:cstheme="minorBidi"/>
          <w:b w:val="0"/>
          <w:bCs w:val="0"/>
          <w:color w:val="auto"/>
          <w:sz w:val="24"/>
          <w:szCs w:val="24"/>
        </w:rPr>
      </w:pPr>
      <w:r w:rsidRPr="00BA2BAC">
        <w:rPr>
          <w:rFonts w:ascii="Calibri" w:eastAsiaTheme="minorEastAsia" w:hAnsi="Calibri" w:cstheme="minorBidi"/>
          <w:b w:val="0"/>
          <w:bCs w:val="0"/>
          <w:color w:val="auto"/>
          <w:sz w:val="24"/>
          <w:szCs w:val="24"/>
        </w:rPr>
        <w:t xml:space="preserve">The Non-Admitted Patient </w:t>
      </w:r>
      <w:r w:rsidR="00F92A00">
        <w:rPr>
          <w:rFonts w:ascii="Calibri" w:eastAsiaTheme="minorEastAsia" w:hAnsi="Calibri" w:cstheme="minorBidi"/>
          <w:b w:val="0"/>
          <w:bCs w:val="0"/>
          <w:color w:val="auto"/>
          <w:sz w:val="24"/>
          <w:szCs w:val="24"/>
        </w:rPr>
        <w:t xml:space="preserve">(NAP) </w:t>
      </w:r>
      <w:r w:rsidRPr="00BA2BAC">
        <w:rPr>
          <w:rFonts w:ascii="Calibri" w:eastAsiaTheme="minorEastAsia" w:hAnsi="Calibri" w:cstheme="minorBidi"/>
          <w:b w:val="0"/>
          <w:bCs w:val="0"/>
          <w:color w:val="auto"/>
          <w:sz w:val="24"/>
          <w:szCs w:val="24"/>
        </w:rPr>
        <w:t xml:space="preserve">Data </w:t>
      </w:r>
      <w:proofErr w:type="gramStart"/>
      <w:r w:rsidRPr="00BA2BAC">
        <w:rPr>
          <w:rFonts w:ascii="Calibri" w:eastAsiaTheme="minorEastAsia" w:hAnsi="Calibri" w:cstheme="minorBidi"/>
          <w:b w:val="0"/>
          <w:bCs w:val="0"/>
          <w:color w:val="auto"/>
          <w:sz w:val="24"/>
          <w:szCs w:val="24"/>
        </w:rPr>
        <w:t>Collection</w:t>
      </w:r>
      <w:r>
        <w:rPr>
          <w:rFonts w:ascii="Calibri" w:eastAsiaTheme="minorEastAsia" w:hAnsi="Calibri" w:cstheme="minorBidi"/>
          <w:b w:val="0"/>
          <w:bCs w:val="0"/>
          <w:color w:val="auto"/>
          <w:sz w:val="24"/>
          <w:szCs w:val="24"/>
        </w:rPr>
        <w:t xml:space="preserve"> </w:t>
      </w:r>
      <w:r w:rsidRPr="00BA2BAC">
        <w:rPr>
          <w:rFonts w:ascii="Calibri" w:eastAsiaTheme="minorEastAsia" w:hAnsi="Calibri" w:cstheme="minorBidi"/>
          <w:b w:val="0"/>
          <w:bCs w:val="0"/>
          <w:color w:val="auto"/>
          <w:sz w:val="24"/>
          <w:szCs w:val="24"/>
        </w:rPr>
        <w:t xml:space="preserve"> is</w:t>
      </w:r>
      <w:proofErr w:type="gramEnd"/>
      <w:r w:rsidRPr="00BA2BAC">
        <w:rPr>
          <w:rFonts w:ascii="Calibri" w:eastAsiaTheme="minorEastAsia" w:hAnsi="Calibri" w:cstheme="minorBidi"/>
          <w:b w:val="0"/>
          <w:bCs w:val="0"/>
          <w:color w:val="auto"/>
          <w:sz w:val="24"/>
          <w:szCs w:val="24"/>
        </w:rPr>
        <w:t xml:space="preserve"> a patient unit record level collection that covers all</w:t>
      </w:r>
      <w:r w:rsidR="00DE12FC">
        <w:rPr>
          <w:rFonts w:ascii="Calibri" w:eastAsiaTheme="minorEastAsia" w:hAnsi="Calibri" w:cstheme="minorBidi"/>
          <w:b w:val="0"/>
          <w:bCs w:val="0"/>
          <w:color w:val="auto"/>
          <w:sz w:val="24"/>
          <w:szCs w:val="24"/>
        </w:rPr>
        <w:t xml:space="preserve"> NSW Health</w:t>
      </w:r>
      <w:r w:rsidRPr="00BA2BAC">
        <w:rPr>
          <w:rFonts w:ascii="Calibri" w:eastAsiaTheme="minorEastAsia" w:hAnsi="Calibri" w:cstheme="minorBidi"/>
          <w:b w:val="0"/>
          <w:bCs w:val="0"/>
          <w:color w:val="auto"/>
          <w:sz w:val="24"/>
          <w:szCs w:val="24"/>
        </w:rPr>
        <w:t xml:space="preserve"> non-admitted patient services that have clinical and/or therapeutic content that warrants a note being made in the client / patient’s medical record. The collection cover all services provided by NSW Health directly to clients / patients irrespective of funding source or mode of service delivery, and all services funded by NSW Health from third party providers under </w:t>
      </w:r>
      <w:proofErr w:type="spellStart"/>
      <w:r w:rsidRPr="00BA2BAC">
        <w:rPr>
          <w:rFonts w:ascii="Calibri" w:eastAsiaTheme="minorEastAsia" w:hAnsi="Calibri" w:cstheme="minorBidi"/>
          <w:b w:val="0"/>
          <w:bCs w:val="0"/>
          <w:color w:val="auto"/>
          <w:sz w:val="24"/>
          <w:szCs w:val="24"/>
        </w:rPr>
        <w:t>contract.The</w:t>
      </w:r>
      <w:proofErr w:type="spellEnd"/>
      <w:r w:rsidRPr="00BA2BAC">
        <w:rPr>
          <w:rFonts w:ascii="Calibri" w:eastAsiaTheme="minorEastAsia" w:hAnsi="Calibri" w:cstheme="minorBidi"/>
          <w:b w:val="0"/>
          <w:bCs w:val="0"/>
          <w:color w:val="auto"/>
          <w:sz w:val="24"/>
          <w:szCs w:val="24"/>
        </w:rPr>
        <w:t xml:space="preserve"> collection’s core minimum data set covers the characteristics of the client/patient, the request for service, the organisation service provider, the individual service providers, and each service contact (such as modality, setting, financial class, date of service). </w:t>
      </w:r>
    </w:p>
    <w:p w14:paraId="0EA8A921" w14:textId="77777777" w:rsidR="008365B3" w:rsidRDefault="00BA2BAC" w:rsidP="008B20B8">
      <w:pPr>
        <w:pStyle w:val="Heading2"/>
        <w:spacing w:before="100"/>
        <w:rPr>
          <w:rFonts w:ascii="Calibri" w:eastAsiaTheme="minorEastAsia" w:hAnsi="Calibri" w:cstheme="minorBidi"/>
          <w:b w:val="0"/>
          <w:bCs w:val="0"/>
          <w:color w:val="auto"/>
          <w:sz w:val="24"/>
          <w:szCs w:val="24"/>
        </w:rPr>
      </w:pPr>
      <w:r w:rsidRPr="00BA2BAC">
        <w:rPr>
          <w:rFonts w:ascii="Calibri" w:eastAsiaTheme="minorEastAsia" w:hAnsi="Calibri" w:cstheme="minorBidi"/>
          <w:b w:val="0"/>
          <w:bCs w:val="0"/>
          <w:color w:val="auto"/>
          <w:sz w:val="24"/>
          <w:szCs w:val="24"/>
        </w:rPr>
        <w:t>The reporting of ancillary services (pathology, radiology, pharmacy) and community supports services, at the unit record level, are optional for reporting to the collection. The collection is used for planning, activity based management, costing and measuring health system performance.</w:t>
      </w:r>
    </w:p>
    <w:p w14:paraId="776D1494" w14:textId="77777777" w:rsidR="00DE12FC" w:rsidRDefault="00DE12FC" w:rsidP="00AA557D"/>
    <w:p w14:paraId="2EBB5772" w14:textId="77777777" w:rsidR="00FD34CA" w:rsidRDefault="00FD34CA" w:rsidP="008B20B8">
      <w:pPr>
        <w:pStyle w:val="Heading2"/>
        <w:spacing w:before="0" w:after="100"/>
        <w:rPr>
          <w:rFonts w:ascii="Corbel" w:hAnsi="Corbel"/>
          <w:color w:val="3E3E67" w:themeColor="accent1" w:themeShade="BF"/>
          <w:sz w:val="28"/>
          <w:szCs w:val="28"/>
        </w:rPr>
      </w:pPr>
      <w:r w:rsidRPr="000A7E86">
        <w:rPr>
          <w:rFonts w:ascii="Corbel" w:hAnsi="Corbel"/>
          <w:color w:val="3E3E67" w:themeColor="accent1" w:themeShade="BF"/>
          <w:sz w:val="28"/>
          <w:szCs w:val="28"/>
        </w:rPr>
        <w:t xml:space="preserve">Tips for using </w:t>
      </w:r>
      <w:r w:rsidR="00BA2BAC">
        <w:rPr>
          <w:rFonts w:ascii="Corbel" w:hAnsi="Corbel"/>
          <w:color w:val="3E3E67" w:themeColor="accent1" w:themeShade="BF"/>
          <w:sz w:val="28"/>
          <w:szCs w:val="28"/>
        </w:rPr>
        <w:t>NAP</w:t>
      </w:r>
      <w:r w:rsidRPr="000A7E86">
        <w:rPr>
          <w:rFonts w:ascii="Corbel" w:hAnsi="Corbel"/>
          <w:color w:val="3E3E67" w:themeColor="accent1" w:themeShade="BF"/>
          <w:sz w:val="28"/>
          <w:szCs w:val="28"/>
        </w:rPr>
        <w:t xml:space="preserve"> data in linkage studies</w:t>
      </w:r>
    </w:p>
    <w:p w14:paraId="6416769F" w14:textId="77777777" w:rsidR="00F92A00" w:rsidRDefault="008666DB" w:rsidP="00AA557D">
      <w:pPr>
        <w:rPr>
          <w:rFonts w:ascii="Calibri" w:hAnsi="Calibri"/>
          <w:sz w:val="24"/>
          <w:szCs w:val="24"/>
        </w:rPr>
      </w:pPr>
      <w:r>
        <w:rPr>
          <w:rFonts w:ascii="Calibri" w:hAnsi="Calibri"/>
          <w:sz w:val="24"/>
          <w:szCs w:val="24"/>
        </w:rPr>
        <w:t xml:space="preserve">By default the </w:t>
      </w:r>
      <w:r w:rsidRPr="008666DB">
        <w:rPr>
          <w:rFonts w:ascii="Calibri" w:hAnsi="Calibri"/>
          <w:sz w:val="24"/>
          <w:szCs w:val="24"/>
        </w:rPr>
        <w:t xml:space="preserve">NAP data </w:t>
      </w:r>
      <w:r>
        <w:rPr>
          <w:rFonts w:ascii="Calibri" w:hAnsi="Calibri"/>
          <w:sz w:val="24"/>
          <w:szCs w:val="24"/>
        </w:rPr>
        <w:t xml:space="preserve">provided is at a </w:t>
      </w:r>
      <w:r w:rsidR="00F92A00">
        <w:rPr>
          <w:rFonts w:ascii="Calibri" w:hAnsi="Calibri"/>
          <w:sz w:val="24"/>
          <w:szCs w:val="24"/>
        </w:rPr>
        <w:t>’S</w:t>
      </w:r>
      <w:r>
        <w:rPr>
          <w:rFonts w:ascii="Calibri" w:hAnsi="Calibri"/>
          <w:sz w:val="24"/>
          <w:szCs w:val="24"/>
        </w:rPr>
        <w:t xml:space="preserve">ervice </w:t>
      </w:r>
      <w:r w:rsidR="00F92A00">
        <w:rPr>
          <w:rFonts w:ascii="Calibri" w:hAnsi="Calibri"/>
          <w:sz w:val="24"/>
          <w:szCs w:val="24"/>
        </w:rPr>
        <w:t>E</w:t>
      </w:r>
      <w:r>
        <w:rPr>
          <w:rFonts w:ascii="Calibri" w:hAnsi="Calibri"/>
          <w:sz w:val="24"/>
          <w:szCs w:val="24"/>
        </w:rPr>
        <w:t>vent</w:t>
      </w:r>
      <w:r w:rsidR="00F92A00">
        <w:rPr>
          <w:rFonts w:ascii="Calibri" w:hAnsi="Calibri"/>
          <w:sz w:val="24"/>
          <w:szCs w:val="24"/>
        </w:rPr>
        <w:t>’</w:t>
      </w:r>
      <w:r>
        <w:rPr>
          <w:rFonts w:ascii="Calibri" w:hAnsi="Calibri"/>
          <w:sz w:val="24"/>
          <w:szCs w:val="24"/>
        </w:rPr>
        <w:t xml:space="preserve"> level which </w:t>
      </w:r>
      <w:r w:rsidR="000D7A22">
        <w:rPr>
          <w:rFonts w:ascii="Calibri" w:hAnsi="Calibri"/>
          <w:sz w:val="24"/>
          <w:szCs w:val="24"/>
        </w:rPr>
        <w:t xml:space="preserve">aggregates </w:t>
      </w:r>
      <w:r>
        <w:rPr>
          <w:rFonts w:ascii="Calibri" w:hAnsi="Calibri"/>
          <w:sz w:val="24"/>
          <w:szCs w:val="24"/>
        </w:rPr>
        <w:t xml:space="preserve">the data </w:t>
      </w:r>
      <w:r w:rsidR="000D7A22">
        <w:rPr>
          <w:rFonts w:ascii="Calibri" w:hAnsi="Calibri"/>
          <w:sz w:val="24"/>
          <w:szCs w:val="24"/>
        </w:rPr>
        <w:t xml:space="preserve">according to standard business rules and reflects the delivery of services by the clinical team </w:t>
      </w:r>
      <w:r>
        <w:rPr>
          <w:rFonts w:ascii="Calibri" w:hAnsi="Calibri"/>
          <w:sz w:val="24"/>
          <w:szCs w:val="24"/>
        </w:rPr>
        <w:t xml:space="preserve">(e.g., the patient was seen by the </w:t>
      </w:r>
      <w:proofErr w:type="spellStart"/>
      <w:r>
        <w:rPr>
          <w:rFonts w:ascii="Calibri" w:hAnsi="Calibri"/>
          <w:sz w:val="24"/>
          <w:szCs w:val="24"/>
        </w:rPr>
        <w:t>orthepedics</w:t>
      </w:r>
      <w:proofErr w:type="spellEnd"/>
      <w:r>
        <w:rPr>
          <w:rFonts w:ascii="Calibri" w:hAnsi="Calibri"/>
          <w:sz w:val="24"/>
          <w:szCs w:val="24"/>
        </w:rPr>
        <w:t xml:space="preserve"> team)</w:t>
      </w:r>
      <w:r w:rsidR="00F92A00">
        <w:rPr>
          <w:rFonts w:ascii="Calibri" w:hAnsi="Calibri"/>
          <w:sz w:val="24"/>
          <w:szCs w:val="24"/>
        </w:rPr>
        <w:t xml:space="preserve"> rather than at an ‘</w:t>
      </w:r>
      <w:proofErr w:type="spellStart"/>
      <w:r w:rsidR="00F92A00">
        <w:rPr>
          <w:rFonts w:ascii="Calibri" w:hAnsi="Calibri"/>
          <w:sz w:val="24"/>
          <w:szCs w:val="24"/>
        </w:rPr>
        <w:t>Occason</w:t>
      </w:r>
      <w:proofErr w:type="spellEnd"/>
      <w:r w:rsidR="00F92A00">
        <w:rPr>
          <w:rFonts w:ascii="Calibri" w:hAnsi="Calibri"/>
          <w:sz w:val="24"/>
          <w:szCs w:val="24"/>
        </w:rPr>
        <w:t xml:space="preserve"> of Service’ level</w:t>
      </w:r>
      <w:r>
        <w:rPr>
          <w:rFonts w:ascii="Calibri" w:hAnsi="Calibri"/>
          <w:sz w:val="24"/>
          <w:szCs w:val="24"/>
        </w:rPr>
        <w:t xml:space="preserve">. </w:t>
      </w:r>
    </w:p>
    <w:p w14:paraId="4CD1932B" w14:textId="77777777" w:rsidR="00113501" w:rsidRDefault="00113501" w:rsidP="00AA557D">
      <w:pPr>
        <w:rPr>
          <w:rFonts w:ascii="Calibri" w:hAnsi="Calibri"/>
          <w:sz w:val="24"/>
          <w:szCs w:val="24"/>
        </w:rPr>
      </w:pPr>
      <w:r>
        <w:rPr>
          <w:rFonts w:ascii="Calibri" w:hAnsi="Calibri"/>
          <w:sz w:val="24"/>
          <w:szCs w:val="24"/>
        </w:rPr>
        <w:t>Non-admitted patient unit level data is comparatively new for NSW Health and therefore the core data set, elements and domains and their collection and reporting has been more subject to change and development in this period than a number of other NSW Health data sets.</w:t>
      </w:r>
      <w:r w:rsidR="00AA5148">
        <w:rPr>
          <w:rFonts w:ascii="Calibri" w:hAnsi="Calibri"/>
          <w:sz w:val="24"/>
          <w:szCs w:val="24"/>
        </w:rPr>
        <w:t xml:space="preserve">  </w:t>
      </w:r>
      <w:r>
        <w:rPr>
          <w:rFonts w:ascii="Calibri" w:hAnsi="Calibri"/>
          <w:sz w:val="24"/>
          <w:szCs w:val="24"/>
        </w:rPr>
        <w:t xml:space="preserve">  This will mean that the earlier data may be less reliable or </w:t>
      </w:r>
      <w:r w:rsidR="00AA5148">
        <w:rPr>
          <w:rFonts w:ascii="Calibri" w:hAnsi="Calibri"/>
          <w:sz w:val="24"/>
          <w:szCs w:val="24"/>
        </w:rPr>
        <w:t xml:space="preserve">comprehensive than later data, particularly data prior to the third quarter of 2016. </w:t>
      </w:r>
    </w:p>
    <w:p w14:paraId="1F07B78F" w14:textId="77777777" w:rsidR="00FF2D1C" w:rsidRDefault="001D0FA8" w:rsidP="00AA557D">
      <w:pPr>
        <w:rPr>
          <w:rFonts w:ascii="Calibri" w:hAnsi="Calibri"/>
          <w:sz w:val="24"/>
          <w:szCs w:val="24"/>
        </w:rPr>
      </w:pPr>
      <w:r>
        <w:rPr>
          <w:rFonts w:ascii="Calibri" w:hAnsi="Calibri"/>
          <w:sz w:val="24"/>
          <w:szCs w:val="24"/>
        </w:rPr>
        <w:t>Users should also be aware that NAP data may be updated locally and re-submitted from time to time</w:t>
      </w:r>
      <w:r w:rsidR="00113501">
        <w:rPr>
          <w:rFonts w:ascii="Calibri" w:hAnsi="Calibri"/>
          <w:sz w:val="24"/>
          <w:szCs w:val="24"/>
        </w:rPr>
        <w:t xml:space="preserve">.  Where this occurs it is usually for specific services or source system within a District or Network rather than a global change to NAP </w:t>
      </w:r>
      <w:proofErr w:type="gramStart"/>
      <w:r w:rsidR="00113501">
        <w:rPr>
          <w:rFonts w:ascii="Calibri" w:hAnsi="Calibri"/>
          <w:sz w:val="24"/>
          <w:szCs w:val="24"/>
        </w:rPr>
        <w:t>Data  therefore</w:t>
      </w:r>
      <w:proofErr w:type="gramEnd"/>
      <w:r w:rsidR="00113501">
        <w:rPr>
          <w:rFonts w:ascii="Calibri" w:hAnsi="Calibri"/>
          <w:sz w:val="24"/>
          <w:szCs w:val="24"/>
        </w:rPr>
        <w:t xml:space="preserve"> there </w:t>
      </w:r>
      <w:r w:rsidR="00AA5148">
        <w:rPr>
          <w:rFonts w:ascii="Calibri" w:hAnsi="Calibri"/>
          <w:sz w:val="24"/>
          <w:szCs w:val="24"/>
        </w:rPr>
        <w:t>is potential for N</w:t>
      </w:r>
      <w:r w:rsidR="00113501">
        <w:rPr>
          <w:rFonts w:ascii="Calibri" w:hAnsi="Calibri"/>
          <w:sz w:val="24"/>
          <w:szCs w:val="24"/>
        </w:rPr>
        <w:t>A</w:t>
      </w:r>
      <w:r w:rsidR="00AA5148">
        <w:rPr>
          <w:rFonts w:ascii="Calibri" w:hAnsi="Calibri"/>
          <w:sz w:val="24"/>
          <w:szCs w:val="24"/>
        </w:rPr>
        <w:t>P</w:t>
      </w:r>
      <w:r w:rsidR="00113501">
        <w:rPr>
          <w:rFonts w:ascii="Calibri" w:hAnsi="Calibri"/>
          <w:sz w:val="24"/>
          <w:szCs w:val="24"/>
        </w:rPr>
        <w:t xml:space="preserve"> data to change over time.</w:t>
      </w:r>
      <w:r w:rsidR="00FF2D1C">
        <w:rPr>
          <w:rFonts w:ascii="Calibri" w:hAnsi="Calibri"/>
          <w:sz w:val="24"/>
          <w:szCs w:val="24"/>
        </w:rPr>
        <w:t xml:space="preserve"> </w:t>
      </w:r>
    </w:p>
    <w:p w14:paraId="0619A1C0" w14:textId="77777777" w:rsidR="00DE12FC" w:rsidRPr="00AA557D" w:rsidRDefault="008666DB" w:rsidP="00AA557D">
      <w:pPr>
        <w:rPr>
          <w:rFonts w:ascii="Calibri" w:hAnsi="Calibri"/>
          <w:sz w:val="24"/>
          <w:szCs w:val="24"/>
        </w:rPr>
      </w:pPr>
      <w:r>
        <w:rPr>
          <w:rFonts w:ascii="Calibri" w:hAnsi="Calibri"/>
          <w:sz w:val="24"/>
          <w:szCs w:val="24"/>
        </w:rPr>
        <w:t xml:space="preserve">Please contact the </w:t>
      </w:r>
      <w:proofErr w:type="spellStart"/>
      <w:r>
        <w:rPr>
          <w:rFonts w:ascii="Calibri" w:hAnsi="Calibri"/>
          <w:sz w:val="24"/>
          <w:szCs w:val="24"/>
        </w:rPr>
        <w:t>CHeReL</w:t>
      </w:r>
      <w:proofErr w:type="spellEnd"/>
      <w:r w:rsidR="00FF2D1C">
        <w:rPr>
          <w:rFonts w:ascii="Calibri" w:hAnsi="Calibri"/>
          <w:sz w:val="24"/>
          <w:szCs w:val="24"/>
        </w:rPr>
        <w:t xml:space="preserve"> for clarification of these issues or</w:t>
      </w:r>
      <w:r>
        <w:rPr>
          <w:rFonts w:ascii="Calibri" w:hAnsi="Calibri"/>
          <w:sz w:val="24"/>
          <w:szCs w:val="24"/>
        </w:rPr>
        <w:t xml:space="preserve"> if you think your project needs data at an occasion of service level as this needs to be strongly justified and discussed with the team who collate the NAP data. </w:t>
      </w:r>
    </w:p>
    <w:p w14:paraId="205EEA17" w14:textId="77777777" w:rsidR="0038433D" w:rsidRPr="008B20B8" w:rsidRDefault="0038433D" w:rsidP="008B20B8">
      <w:pPr>
        <w:pStyle w:val="Heading2"/>
        <w:spacing w:before="100"/>
        <w:rPr>
          <w:rFonts w:ascii="Corbel" w:hAnsi="Corbel"/>
          <w:color w:val="3E3E67" w:themeColor="accent1" w:themeShade="BF"/>
          <w:sz w:val="24"/>
          <w:szCs w:val="24"/>
        </w:rPr>
      </w:pPr>
    </w:p>
    <w:p w14:paraId="744735B1" w14:textId="77777777" w:rsidR="00F83DDD" w:rsidRPr="000A7E86" w:rsidRDefault="00F83DDD" w:rsidP="00466615">
      <w:pPr>
        <w:pStyle w:val="Heading2"/>
        <w:rPr>
          <w:rFonts w:ascii="Corbel" w:hAnsi="Corbel"/>
          <w:color w:val="3E3E67" w:themeColor="accent1" w:themeShade="BF"/>
          <w:sz w:val="28"/>
          <w:szCs w:val="28"/>
        </w:rPr>
      </w:pPr>
      <w:r w:rsidRPr="000A7E86">
        <w:rPr>
          <w:rFonts w:ascii="Corbel" w:hAnsi="Corbel"/>
          <w:color w:val="3E3E67" w:themeColor="accent1" w:themeShade="BF"/>
          <w:sz w:val="28"/>
          <w:szCs w:val="28"/>
        </w:rPr>
        <w:t>Data custodian</w:t>
      </w:r>
    </w:p>
    <w:p w14:paraId="6AE3B020" w14:textId="77777777" w:rsidR="004705CB" w:rsidRPr="004705CB" w:rsidRDefault="009B66DE" w:rsidP="004705CB">
      <w:pPr>
        <w:spacing w:after="0" w:line="240" w:lineRule="auto"/>
        <w:rPr>
          <w:rFonts w:ascii="Calibri" w:hAnsi="Calibri"/>
          <w:sz w:val="24"/>
          <w:szCs w:val="24"/>
        </w:rPr>
      </w:pPr>
      <w:r>
        <w:rPr>
          <w:rFonts w:ascii="Calibri" w:hAnsi="Calibri"/>
          <w:sz w:val="24"/>
          <w:szCs w:val="24"/>
        </w:rPr>
        <w:t>Sharon Smith</w:t>
      </w:r>
    </w:p>
    <w:p w14:paraId="3BE899F6" w14:textId="77777777" w:rsidR="004705CB" w:rsidRPr="004705CB" w:rsidRDefault="001E5295" w:rsidP="004705CB">
      <w:pPr>
        <w:spacing w:after="0" w:line="240" w:lineRule="auto"/>
        <w:rPr>
          <w:rFonts w:ascii="Calibri" w:hAnsi="Calibri"/>
          <w:sz w:val="24"/>
          <w:szCs w:val="24"/>
        </w:rPr>
      </w:pPr>
      <w:r>
        <w:rPr>
          <w:rFonts w:ascii="Calibri" w:hAnsi="Calibri"/>
          <w:sz w:val="24"/>
          <w:szCs w:val="24"/>
        </w:rPr>
        <w:t xml:space="preserve">Executive </w:t>
      </w:r>
      <w:r w:rsidR="004705CB" w:rsidRPr="004705CB">
        <w:rPr>
          <w:rFonts w:ascii="Calibri" w:hAnsi="Calibri"/>
          <w:sz w:val="24"/>
          <w:szCs w:val="24"/>
        </w:rPr>
        <w:t>Director</w:t>
      </w:r>
    </w:p>
    <w:p w14:paraId="65674037" w14:textId="77777777" w:rsidR="00C13498" w:rsidRDefault="00C13498" w:rsidP="004705CB">
      <w:pPr>
        <w:spacing w:after="0" w:line="240" w:lineRule="auto"/>
        <w:rPr>
          <w:rFonts w:ascii="Calibri" w:hAnsi="Calibri"/>
          <w:sz w:val="24"/>
          <w:szCs w:val="24"/>
        </w:rPr>
      </w:pPr>
      <w:r w:rsidRPr="00C13498">
        <w:rPr>
          <w:rFonts w:ascii="Calibri" w:hAnsi="Calibri"/>
          <w:sz w:val="24"/>
          <w:szCs w:val="24"/>
        </w:rPr>
        <w:t xml:space="preserve">System Information and </w:t>
      </w:r>
      <w:proofErr w:type="spellStart"/>
      <w:r w:rsidR="00F92A00">
        <w:rPr>
          <w:rFonts w:ascii="Calibri" w:hAnsi="Calibri"/>
          <w:sz w:val="24"/>
          <w:szCs w:val="24"/>
        </w:rPr>
        <w:t>Anayltics</w:t>
      </w:r>
      <w:proofErr w:type="spellEnd"/>
      <w:r w:rsidR="00F92A00">
        <w:rPr>
          <w:rFonts w:ascii="Calibri" w:hAnsi="Calibri"/>
          <w:sz w:val="24"/>
          <w:szCs w:val="24"/>
        </w:rPr>
        <w:t xml:space="preserve"> Branch</w:t>
      </w:r>
    </w:p>
    <w:p w14:paraId="4517739E" w14:textId="77777777" w:rsidR="00C13498" w:rsidRDefault="00C13498" w:rsidP="004705CB">
      <w:pPr>
        <w:spacing w:after="0" w:line="240" w:lineRule="auto"/>
        <w:rPr>
          <w:rFonts w:ascii="Calibri" w:hAnsi="Calibri"/>
          <w:sz w:val="24"/>
          <w:szCs w:val="24"/>
        </w:rPr>
      </w:pPr>
      <w:r w:rsidRPr="00C13498">
        <w:rPr>
          <w:rFonts w:ascii="Calibri" w:hAnsi="Calibri"/>
          <w:sz w:val="24"/>
          <w:szCs w:val="24"/>
        </w:rPr>
        <w:t xml:space="preserve">NSW Ministry of Health </w:t>
      </w:r>
    </w:p>
    <w:p w14:paraId="2FBB54FB" w14:textId="77777777" w:rsidR="007A68D4" w:rsidRPr="00C13498" w:rsidRDefault="007A68D4" w:rsidP="004705CB">
      <w:pPr>
        <w:spacing w:after="0" w:line="240" w:lineRule="auto"/>
        <w:rPr>
          <w:rFonts w:ascii="Calibri" w:hAnsi="Calibri"/>
          <w:sz w:val="24"/>
          <w:szCs w:val="24"/>
        </w:rPr>
      </w:pPr>
    </w:p>
    <w:p w14:paraId="6FD20FC6" w14:textId="77777777" w:rsidR="006916DD" w:rsidRDefault="008B20B8" w:rsidP="00AA557D">
      <w:pPr>
        <w:spacing w:after="0" w:line="240" w:lineRule="auto"/>
        <w:rPr>
          <w:rFonts w:ascii="Calibri" w:hAnsi="Calibri"/>
          <w:sz w:val="24"/>
          <w:szCs w:val="24"/>
        </w:rPr>
      </w:pPr>
      <w:r w:rsidRPr="008B20B8">
        <w:rPr>
          <w:rFonts w:ascii="Calibri" w:hAnsi="Calibri"/>
          <w:sz w:val="24"/>
          <w:szCs w:val="24"/>
        </w:rPr>
        <w:t>All questions relating to this dataset should be directed to</w:t>
      </w:r>
      <w:r w:rsidR="008666DB">
        <w:rPr>
          <w:rFonts w:ascii="Calibri" w:hAnsi="Calibri"/>
          <w:sz w:val="24"/>
          <w:szCs w:val="24"/>
        </w:rPr>
        <w:t xml:space="preserve"> the </w:t>
      </w:r>
      <w:proofErr w:type="spellStart"/>
      <w:r w:rsidR="008666DB">
        <w:rPr>
          <w:rFonts w:ascii="Calibri" w:hAnsi="Calibri"/>
          <w:sz w:val="24"/>
          <w:szCs w:val="24"/>
        </w:rPr>
        <w:t>CHeReL</w:t>
      </w:r>
      <w:proofErr w:type="spellEnd"/>
      <w:r w:rsidR="008666DB">
        <w:rPr>
          <w:rFonts w:ascii="Calibri" w:hAnsi="Calibri"/>
          <w:sz w:val="24"/>
          <w:szCs w:val="24"/>
        </w:rPr>
        <w:t xml:space="preserve"> </w:t>
      </w:r>
    </w:p>
    <w:p w14:paraId="40B80031" w14:textId="10DB6F47" w:rsidR="008B20B8" w:rsidRDefault="008666DB" w:rsidP="00AA557D">
      <w:pPr>
        <w:spacing w:after="0" w:line="240" w:lineRule="auto"/>
        <w:rPr>
          <w:rFonts w:asciiTheme="majorHAnsi" w:eastAsiaTheme="majorEastAsia" w:hAnsiTheme="majorHAnsi" w:cstheme="majorBidi"/>
          <w:b/>
          <w:bCs/>
          <w:color w:val="53548A" w:themeColor="accent1"/>
          <w:sz w:val="26"/>
          <w:szCs w:val="26"/>
        </w:rPr>
        <w:sectPr w:rsidR="008B20B8" w:rsidSect="00594ABC">
          <w:footerReference w:type="default" r:id="rId9"/>
          <w:pgSz w:w="11906" w:h="16838" w:code="9"/>
          <w:pgMar w:top="1440" w:right="1440" w:bottom="1440" w:left="1440" w:header="709" w:footer="709" w:gutter="0"/>
          <w:cols w:space="708"/>
          <w:docGrid w:linePitch="360"/>
        </w:sectPr>
      </w:pPr>
      <w:r>
        <w:rPr>
          <w:rFonts w:ascii="Calibri" w:hAnsi="Calibri"/>
          <w:sz w:val="24"/>
          <w:szCs w:val="24"/>
        </w:rPr>
        <w:t>(</w:t>
      </w:r>
      <w:hyperlink r:id="rId10" w:history="1">
        <w:r w:rsidR="006916DD" w:rsidRPr="00B90726">
          <w:rPr>
            <w:rStyle w:val="Hyperlink"/>
            <w:rFonts w:ascii="Calibri" w:hAnsi="Calibri"/>
            <w:sz w:val="24"/>
            <w:szCs w:val="24"/>
          </w:rPr>
          <w:t>moh-cherel@health.nsw.gov.au</w:t>
        </w:r>
      </w:hyperlink>
      <w:r w:rsidR="00AA557D">
        <w:rPr>
          <w:rFonts w:ascii="Calibri" w:hAnsi="Calibri"/>
          <w:sz w:val="24"/>
          <w:szCs w:val="24"/>
        </w:rPr>
        <w:t xml:space="preserve"> </w:t>
      </w:r>
      <w:r>
        <w:rPr>
          <w:rFonts w:ascii="Calibri" w:hAnsi="Calibri"/>
          <w:sz w:val="24"/>
          <w:szCs w:val="24"/>
        </w:rPr>
        <w:t>)</w:t>
      </w:r>
    </w:p>
    <w:p w14:paraId="6DEC3DED" w14:textId="77777777" w:rsidR="00FD34CA" w:rsidRPr="00975040" w:rsidRDefault="00FD34CA" w:rsidP="00975040">
      <w:pPr>
        <w:spacing w:after="0" w:line="240" w:lineRule="auto"/>
        <w:rPr>
          <w:rFonts w:ascii="Calibri" w:hAnsi="Calibri"/>
          <w:sz w:val="24"/>
          <w:szCs w:val="24"/>
        </w:rPr>
        <w:sectPr w:rsidR="00FD34CA" w:rsidRPr="00975040" w:rsidSect="00594ABC">
          <w:type w:val="continuous"/>
          <w:pgSz w:w="11906" w:h="16838" w:code="9"/>
          <w:pgMar w:top="1440" w:right="1440" w:bottom="1440" w:left="1440" w:header="709" w:footer="709" w:gutter="0"/>
          <w:cols w:space="708"/>
          <w:docGrid w:linePitch="360"/>
        </w:sectPr>
      </w:pPr>
    </w:p>
    <w:p w14:paraId="1B109D0B" w14:textId="77777777" w:rsidR="00F00049" w:rsidRPr="000A7E86" w:rsidRDefault="00BA2BAC" w:rsidP="00F00049">
      <w:pPr>
        <w:pStyle w:val="Heading2"/>
        <w:rPr>
          <w:rFonts w:ascii="Corbel" w:hAnsi="Corbel"/>
          <w:color w:val="3E3E67" w:themeColor="accent1" w:themeShade="BF"/>
          <w:sz w:val="32"/>
          <w:szCs w:val="32"/>
        </w:rPr>
      </w:pPr>
      <w:r>
        <w:rPr>
          <w:rFonts w:ascii="Corbel" w:hAnsi="Corbel"/>
          <w:color w:val="3E3E67" w:themeColor="accent1" w:themeShade="BF"/>
          <w:sz w:val="32"/>
          <w:szCs w:val="32"/>
        </w:rPr>
        <w:lastRenderedPageBreak/>
        <w:t>Non-</w:t>
      </w:r>
      <w:r w:rsidR="004705CB">
        <w:rPr>
          <w:rFonts w:ascii="Corbel" w:hAnsi="Corbel"/>
          <w:color w:val="3E3E67" w:themeColor="accent1" w:themeShade="BF"/>
          <w:sz w:val="32"/>
          <w:szCs w:val="32"/>
        </w:rPr>
        <w:t>Admitted Patient Data</w:t>
      </w:r>
      <w:r w:rsidR="00546DB4">
        <w:rPr>
          <w:rFonts w:ascii="Corbel" w:hAnsi="Corbel"/>
          <w:color w:val="3E3E67" w:themeColor="accent1" w:themeShade="BF"/>
          <w:sz w:val="32"/>
          <w:szCs w:val="32"/>
        </w:rPr>
        <w:t xml:space="preserve"> Collection</w:t>
      </w:r>
      <w:r w:rsidR="004705CB">
        <w:rPr>
          <w:rFonts w:ascii="Corbel" w:hAnsi="Corbel"/>
          <w:color w:val="3E3E67" w:themeColor="accent1" w:themeShade="BF"/>
          <w:sz w:val="32"/>
          <w:szCs w:val="32"/>
        </w:rPr>
        <w:t xml:space="preserve"> – Variable </w:t>
      </w:r>
      <w:r w:rsidR="00C06E0C" w:rsidRPr="000A7E86">
        <w:rPr>
          <w:rFonts w:ascii="Corbel" w:hAnsi="Corbel"/>
          <w:color w:val="3E3E67" w:themeColor="accent1" w:themeShade="BF"/>
          <w:sz w:val="32"/>
          <w:szCs w:val="32"/>
        </w:rPr>
        <w:t>information</w:t>
      </w:r>
    </w:p>
    <w:p w14:paraId="676570DB" w14:textId="77777777" w:rsidR="00F00049" w:rsidRPr="00F00049" w:rsidRDefault="00F00049" w:rsidP="00F00049"/>
    <w:tbl>
      <w:tblPr>
        <w:tblStyle w:val="LightList-Accent11"/>
        <w:tblW w:w="14283" w:type="dxa"/>
        <w:tblBorders>
          <w:insideH w:val="single" w:sz="8" w:space="0" w:color="53548A" w:themeColor="accent1"/>
          <w:insideV w:val="single" w:sz="8" w:space="0" w:color="53548A" w:themeColor="accent1"/>
        </w:tblBorders>
        <w:shd w:val="clear" w:color="auto" w:fill="DADAE9" w:themeFill="accent1" w:themeFillTint="33"/>
        <w:tblLayout w:type="fixed"/>
        <w:tblLook w:val="04A0" w:firstRow="1" w:lastRow="0" w:firstColumn="1" w:lastColumn="0" w:noHBand="0" w:noVBand="1"/>
      </w:tblPr>
      <w:tblGrid>
        <w:gridCol w:w="2943"/>
        <w:gridCol w:w="5245"/>
        <w:gridCol w:w="2268"/>
        <w:gridCol w:w="3827"/>
      </w:tblGrid>
      <w:tr w:rsidR="005D2678" w:rsidRPr="006C429C" w14:paraId="7E79290F" w14:textId="77777777" w:rsidTr="003C40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43" w:type="dxa"/>
            <w:shd w:val="clear" w:color="auto" w:fill="3E3E67" w:themeFill="accent1" w:themeFillShade="BF"/>
          </w:tcPr>
          <w:p w14:paraId="39A774CD" w14:textId="77777777" w:rsidR="00196B63" w:rsidRPr="006C429C" w:rsidRDefault="00196B63" w:rsidP="004705CB">
            <w:pPr>
              <w:rPr>
                <w:rFonts w:ascii="Calibri" w:hAnsi="Calibri" w:cs="Arial"/>
              </w:rPr>
            </w:pPr>
            <w:bookmarkStart w:id="0" w:name="_Hlk274311485"/>
            <w:r w:rsidRPr="006C429C">
              <w:rPr>
                <w:rFonts w:ascii="Calibri" w:hAnsi="Calibri" w:cs="Arial"/>
              </w:rPr>
              <w:t>Variable</w:t>
            </w:r>
            <w:r>
              <w:rPr>
                <w:rFonts w:ascii="Calibri" w:hAnsi="Calibri" w:cs="Arial"/>
              </w:rPr>
              <w:t xml:space="preserve"> (variable name</w:t>
            </w:r>
            <w:r w:rsidR="00973C0A">
              <w:rPr>
                <w:rFonts w:ascii="Calibri" w:hAnsi="Calibri" w:cs="Arial"/>
              </w:rPr>
              <w:t xml:space="preserve"> in data</w:t>
            </w:r>
            <w:r>
              <w:rPr>
                <w:rFonts w:ascii="Calibri" w:hAnsi="Calibri" w:cs="Arial"/>
              </w:rPr>
              <w:t>)</w:t>
            </w:r>
          </w:p>
        </w:tc>
        <w:tc>
          <w:tcPr>
            <w:tcW w:w="5245" w:type="dxa"/>
            <w:tcBorders>
              <w:bottom w:val="single" w:sz="8" w:space="0" w:color="53548A" w:themeColor="accent1"/>
            </w:tcBorders>
            <w:shd w:val="clear" w:color="auto" w:fill="3E3E67" w:themeFill="accent1" w:themeFillShade="BF"/>
          </w:tcPr>
          <w:p w14:paraId="68389DE2" w14:textId="77777777" w:rsidR="00196B63" w:rsidRPr="006C429C" w:rsidRDefault="00196B63" w:rsidP="004705CB">
            <w:pP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6C429C">
              <w:rPr>
                <w:rFonts w:ascii="Calibri" w:hAnsi="Calibri" w:cs="Arial"/>
              </w:rPr>
              <w:t>Description/Notes</w:t>
            </w:r>
          </w:p>
        </w:tc>
        <w:tc>
          <w:tcPr>
            <w:tcW w:w="2268" w:type="dxa"/>
            <w:tcBorders>
              <w:bottom w:val="single" w:sz="8" w:space="0" w:color="53548A" w:themeColor="accent1"/>
            </w:tcBorders>
            <w:shd w:val="clear" w:color="auto" w:fill="3E3E67" w:themeFill="accent1" w:themeFillShade="BF"/>
          </w:tcPr>
          <w:p w14:paraId="5F0DD6E5" w14:textId="77777777" w:rsidR="00196B63" w:rsidRPr="006C429C" w:rsidRDefault="00196B63" w:rsidP="004705CB">
            <w:pP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6C429C">
              <w:rPr>
                <w:rFonts w:ascii="Calibri" w:hAnsi="Calibri" w:cs="Arial"/>
              </w:rPr>
              <w:t>Codes</w:t>
            </w:r>
          </w:p>
        </w:tc>
        <w:tc>
          <w:tcPr>
            <w:tcW w:w="3827" w:type="dxa"/>
            <w:tcBorders>
              <w:bottom w:val="single" w:sz="8" w:space="0" w:color="53548A" w:themeColor="accent1"/>
            </w:tcBorders>
            <w:shd w:val="clear" w:color="auto" w:fill="3E3E67" w:themeFill="accent1" w:themeFillShade="BF"/>
          </w:tcPr>
          <w:p w14:paraId="30F9E955" w14:textId="77777777" w:rsidR="00196B63" w:rsidRPr="006C429C" w:rsidRDefault="00196B63" w:rsidP="004705CB">
            <w:pPr>
              <w:cnfStyle w:val="100000000000" w:firstRow="1"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Comments</w:t>
            </w:r>
          </w:p>
        </w:tc>
      </w:tr>
      <w:tr w:rsidR="00440DBC" w:rsidRPr="004705CB" w14:paraId="62589AD8"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92913B9" w14:textId="77777777" w:rsidR="00440DBC" w:rsidRDefault="00440DBC" w:rsidP="00322F41">
            <w:r>
              <w:t>Accommodation Type Code (EDW)</w:t>
            </w:r>
          </w:p>
        </w:tc>
        <w:tc>
          <w:tcPr>
            <w:tcW w:w="5245" w:type="dxa"/>
            <w:shd w:val="clear" w:color="auto" w:fill="auto"/>
          </w:tcPr>
          <w:p w14:paraId="07E649A5" w14:textId="77777777" w:rsidR="00440DBC" w:rsidRPr="005007BB" w:rsidRDefault="00440DBC" w:rsidP="00E61120">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007BB">
              <w:rPr>
                <w:rFonts w:ascii="Calibri" w:hAnsi="Calibri" w:cs="Calibri"/>
              </w:rPr>
              <w:t xml:space="preserve">The type of accommodation that a client  / patient </w:t>
            </w:r>
            <w:r w:rsidR="00E61120">
              <w:rPr>
                <w:rFonts w:ascii="Calibri" w:hAnsi="Calibri" w:cs="Calibri"/>
              </w:rPr>
              <w:t>resides in</w:t>
            </w:r>
            <w:r w:rsidRPr="005007BB">
              <w:rPr>
                <w:rFonts w:ascii="Calibri" w:hAnsi="Calibri" w:cs="Calibri"/>
              </w:rPr>
              <w:t>.</w:t>
            </w:r>
          </w:p>
        </w:tc>
        <w:tc>
          <w:tcPr>
            <w:tcW w:w="2268" w:type="dxa"/>
            <w:shd w:val="clear" w:color="auto" w:fill="auto"/>
          </w:tcPr>
          <w:p w14:paraId="28A40394" w14:textId="77777777" w:rsidR="00440DBC" w:rsidRPr="00496749" w:rsidRDefault="00440DBC" w:rsidP="00496749">
            <w:pPr>
              <w:spacing w:before="48" w:after="19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827" w:type="dxa"/>
          </w:tcPr>
          <w:p w14:paraId="372A06EE" w14:textId="77777777" w:rsidR="00440DBC" w:rsidRPr="00496749" w:rsidRDefault="006916DD" w:rsidP="00496749">
            <w:pPr>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11" w:history="1">
              <w:r w:rsidR="00496749" w:rsidRPr="00496749">
                <w:rPr>
                  <w:rFonts w:ascii="Calibri" w:hAnsi="Calibri" w:cs="Calibri"/>
                </w:rPr>
                <w:t>See</w:t>
              </w:r>
            </w:hyperlink>
            <w:r w:rsidR="00496749" w:rsidRPr="00496749">
              <w:rPr>
                <w:rFonts w:ascii="Calibri" w:hAnsi="Calibri" w:cs="Calibri"/>
              </w:rPr>
              <w:t xml:space="preserve"> Appendix A</w:t>
            </w:r>
          </w:p>
        </w:tc>
      </w:tr>
      <w:tr w:rsidR="00A65A33" w:rsidRPr="00496749" w14:paraId="3993A6F5"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7C394E1F" w14:textId="77777777" w:rsidR="00A65A33" w:rsidRDefault="00A65A33" w:rsidP="00A65A33">
            <w:r>
              <w:t>Australian Standard Geographic Classification (ASGC) Geographic Remoteness Aera Category  (ASGC-RA) (EDW)</w:t>
            </w:r>
          </w:p>
        </w:tc>
        <w:tc>
          <w:tcPr>
            <w:tcW w:w="5245" w:type="dxa"/>
            <w:shd w:val="clear" w:color="auto" w:fill="auto"/>
          </w:tcPr>
          <w:p w14:paraId="3D76EC8E" w14:textId="77777777" w:rsidR="00A65A33" w:rsidRPr="00560CF9" w:rsidRDefault="00A65A33" w:rsidP="007A68D4">
            <w:pPr>
              <w:spacing w:before="48" w:after="19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60CF9">
              <w:rPr>
                <w:rFonts w:ascii="Calibri" w:hAnsi="Calibri" w:cs="Calibri"/>
              </w:rPr>
              <w:t xml:space="preserve">The </w:t>
            </w:r>
            <w:r w:rsidR="007A68D4">
              <w:rPr>
                <w:rFonts w:ascii="Calibri" w:hAnsi="Calibri" w:cs="Calibri"/>
              </w:rPr>
              <w:t xml:space="preserve">code of the </w:t>
            </w:r>
            <w:r w:rsidRPr="00560CF9">
              <w:rPr>
                <w:rFonts w:ascii="Calibri" w:hAnsi="Calibri" w:cs="Calibri"/>
              </w:rPr>
              <w:t>Australian Standard Geographic Classification remoteness of an establishment providing admitted patient care, based on the physical road distance to the nearest urban centre and its population size, as represented by a code</w:t>
            </w:r>
          </w:p>
        </w:tc>
        <w:tc>
          <w:tcPr>
            <w:tcW w:w="2268" w:type="dxa"/>
            <w:shd w:val="clear" w:color="auto" w:fill="auto"/>
          </w:tcPr>
          <w:p w14:paraId="165DCFA4" w14:textId="77777777" w:rsidR="00A65A33" w:rsidRPr="00560CF9" w:rsidRDefault="00A65A33"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0CF9">
              <w:rPr>
                <w:rFonts w:ascii="Calibri" w:hAnsi="Calibri" w:cs="Calibri"/>
              </w:rPr>
              <w:t>0 – Major cities of Australia</w:t>
            </w:r>
          </w:p>
          <w:p w14:paraId="27F38811" w14:textId="77777777" w:rsidR="00A65A33" w:rsidRPr="00560CF9" w:rsidRDefault="00A65A33"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0CF9">
              <w:rPr>
                <w:rFonts w:ascii="Calibri" w:hAnsi="Calibri" w:cs="Calibri"/>
              </w:rPr>
              <w:t>1 – Inner regional Australia</w:t>
            </w:r>
          </w:p>
          <w:p w14:paraId="44B7C493" w14:textId="77777777" w:rsidR="00A65A33" w:rsidRPr="00560CF9" w:rsidRDefault="00A65A33"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0CF9">
              <w:rPr>
                <w:rFonts w:ascii="Calibri" w:hAnsi="Calibri" w:cs="Calibri"/>
              </w:rPr>
              <w:t>2 – Outer regional Australia</w:t>
            </w:r>
          </w:p>
          <w:p w14:paraId="58FD116B" w14:textId="77777777" w:rsidR="00A65A33" w:rsidRPr="00560CF9" w:rsidRDefault="00A65A33"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0CF9">
              <w:rPr>
                <w:rFonts w:ascii="Calibri" w:hAnsi="Calibri" w:cs="Calibri"/>
              </w:rPr>
              <w:t>3 – Remote Australia</w:t>
            </w:r>
          </w:p>
          <w:p w14:paraId="7F9223CA" w14:textId="77777777" w:rsidR="00A65A33" w:rsidRPr="00560CF9" w:rsidRDefault="00A65A33"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0CF9">
              <w:rPr>
                <w:rFonts w:ascii="Calibri" w:hAnsi="Calibri" w:cs="Calibri"/>
              </w:rPr>
              <w:t>4 – Very remote Australia</w:t>
            </w:r>
          </w:p>
          <w:p w14:paraId="2473E822" w14:textId="77777777" w:rsidR="00A65A33" w:rsidRPr="00560CF9" w:rsidRDefault="00A65A33"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0CF9">
              <w:rPr>
                <w:rFonts w:ascii="Calibri" w:hAnsi="Calibri" w:cs="Calibri"/>
              </w:rPr>
              <w:t>5 – Migratory</w:t>
            </w:r>
          </w:p>
          <w:p w14:paraId="0D9D1BA0" w14:textId="77777777" w:rsidR="00A65A33" w:rsidRPr="00560CF9" w:rsidRDefault="00A65A33"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0CF9">
              <w:rPr>
                <w:rFonts w:ascii="Calibri" w:hAnsi="Calibri" w:cs="Calibri"/>
              </w:rPr>
              <w:t>9 – Not stated/inadequately described</w:t>
            </w:r>
          </w:p>
        </w:tc>
        <w:tc>
          <w:tcPr>
            <w:tcW w:w="3827" w:type="dxa"/>
          </w:tcPr>
          <w:p w14:paraId="5F39703C" w14:textId="77777777" w:rsidR="00A65A33" w:rsidRPr="00496749" w:rsidRDefault="00496749"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See Appendix B</w:t>
            </w:r>
          </w:p>
        </w:tc>
      </w:tr>
      <w:tr w:rsidR="00440DBC" w:rsidRPr="00496749" w14:paraId="3B95E3B1"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7078D3D3" w14:textId="77777777" w:rsidR="00440DBC" w:rsidRDefault="00440DBC" w:rsidP="00322F41">
            <w:r>
              <w:t>ASGC Geographic Remoteness Description</w:t>
            </w:r>
          </w:p>
        </w:tc>
        <w:tc>
          <w:tcPr>
            <w:tcW w:w="5245" w:type="dxa"/>
            <w:shd w:val="clear" w:color="auto" w:fill="auto"/>
          </w:tcPr>
          <w:p w14:paraId="66634926" w14:textId="77777777" w:rsidR="00440DBC" w:rsidRPr="005007BB" w:rsidRDefault="007A68D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The description of the ASGC remoteness area.</w:t>
            </w:r>
          </w:p>
        </w:tc>
        <w:tc>
          <w:tcPr>
            <w:tcW w:w="2268" w:type="dxa"/>
            <w:shd w:val="clear" w:color="auto" w:fill="auto"/>
          </w:tcPr>
          <w:p w14:paraId="09FA2E9E" w14:textId="77777777" w:rsidR="00440DBC" w:rsidRPr="005007BB"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827" w:type="dxa"/>
          </w:tcPr>
          <w:p w14:paraId="5DDB27E2" w14:textId="77777777" w:rsidR="00440DBC" w:rsidRPr="005007BB"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A2BAC" w:rsidRPr="00496749" w14:paraId="45CEC90A"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04CC7EF" w14:textId="77777777" w:rsidR="00BA2BAC" w:rsidRPr="002C08DA" w:rsidRDefault="00BA2BAC" w:rsidP="00CA0956">
            <w:r w:rsidRPr="002C08DA">
              <w:lastRenderedPageBreak/>
              <w:t>Cleansed State Territory Abbreviation (EDW)</w:t>
            </w:r>
          </w:p>
        </w:tc>
        <w:tc>
          <w:tcPr>
            <w:tcW w:w="5245" w:type="dxa"/>
            <w:shd w:val="clear" w:color="auto" w:fill="auto"/>
          </w:tcPr>
          <w:p w14:paraId="1C9ECC01" w14:textId="77777777" w:rsidR="00BA2BAC" w:rsidRPr="004705CB" w:rsidRDefault="00E27162" w:rsidP="00E27162">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E27162">
              <w:rPr>
                <w:rFonts w:ascii="Calibri" w:hAnsi="Calibri" w:cs="Arial"/>
              </w:rPr>
              <w:t xml:space="preserve">The defined State or Territory in Australia (in abbreviated </w:t>
            </w:r>
            <w:proofErr w:type="gramStart"/>
            <w:r w:rsidRPr="00E27162">
              <w:rPr>
                <w:rFonts w:ascii="Calibri" w:hAnsi="Calibri" w:cs="Arial"/>
              </w:rPr>
              <w:t>format)that</w:t>
            </w:r>
            <w:proofErr w:type="gramEnd"/>
            <w:r w:rsidRPr="00E27162">
              <w:rPr>
                <w:rFonts w:ascii="Calibri" w:hAnsi="Calibri" w:cs="Arial"/>
              </w:rPr>
              <w:t xml:space="preserve"> the specific placename/address is located.</w:t>
            </w:r>
          </w:p>
        </w:tc>
        <w:tc>
          <w:tcPr>
            <w:tcW w:w="2268" w:type="dxa"/>
            <w:shd w:val="clear" w:color="auto" w:fill="auto"/>
          </w:tcPr>
          <w:p w14:paraId="13051457" w14:textId="77777777" w:rsidR="00BA2BAC"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ACT – Australian Capital Territory</w:t>
            </w:r>
          </w:p>
          <w:p w14:paraId="44EA0487" w14:textId="77777777" w:rsidR="00E2716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NSW – New South Wales</w:t>
            </w:r>
          </w:p>
          <w:p w14:paraId="60BC8E5A" w14:textId="77777777" w:rsidR="00E2716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NT – Northern Territory</w:t>
            </w:r>
          </w:p>
          <w:p w14:paraId="3CADEE55" w14:textId="77777777" w:rsidR="00E2716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OS – Overseas</w:t>
            </w:r>
          </w:p>
          <w:p w14:paraId="779D1256" w14:textId="77777777" w:rsidR="00E2716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OT – Other Territories</w:t>
            </w:r>
          </w:p>
          <w:p w14:paraId="5FD556D1" w14:textId="77777777" w:rsidR="00E2716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QLD – Queensland </w:t>
            </w:r>
          </w:p>
          <w:p w14:paraId="16706738" w14:textId="77777777" w:rsidR="00E2716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SA – South Australia</w:t>
            </w:r>
          </w:p>
          <w:p w14:paraId="71349A45" w14:textId="77777777" w:rsidR="00E2716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VIC – Victoria</w:t>
            </w:r>
          </w:p>
          <w:p w14:paraId="0A0F3B7C" w14:textId="77777777" w:rsidR="00E27162" w:rsidRPr="00EC75D2" w:rsidRDefault="00E2716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WA – Western Australia</w:t>
            </w:r>
          </w:p>
        </w:tc>
        <w:tc>
          <w:tcPr>
            <w:tcW w:w="3827" w:type="dxa"/>
          </w:tcPr>
          <w:p w14:paraId="0569C59D" w14:textId="77777777" w:rsidR="00BA2BAC" w:rsidRPr="00496749" w:rsidRDefault="0049674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6749">
              <w:rPr>
                <w:rFonts w:ascii="Calibri" w:hAnsi="Calibri" w:cs="Calibri"/>
              </w:rPr>
              <w:t>See Appendix C</w:t>
            </w:r>
          </w:p>
        </w:tc>
      </w:tr>
      <w:tr w:rsidR="000F422A" w:rsidRPr="00496749" w14:paraId="1C1DFFC2"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29035688" w14:textId="77777777" w:rsidR="000F422A" w:rsidRPr="002C08DA" w:rsidRDefault="000F422A" w:rsidP="00CA0956">
            <w:r w:rsidRPr="002C08DA">
              <w:t>Cleansed Postcode (EDW)</w:t>
            </w:r>
          </w:p>
        </w:tc>
        <w:tc>
          <w:tcPr>
            <w:tcW w:w="5245" w:type="dxa"/>
            <w:shd w:val="clear" w:color="auto" w:fill="auto"/>
          </w:tcPr>
          <w:p w14:paraId="001B6757" w14:textId="77777777" w:rsidR="000F422A" w:rsidRPr="00BF0F4B" w:rsidRDefault="000F422A" w:rsidP="00322F41">
            <w:pPr>
              <w:cnfStyle w:val="000000100000" w:firstRow="0" w:lastRow="0" w:firstColumn="0" w:lastColumn="0" w:oddVBand="0" w:evenVBand="0" w:oddHBand="1" w:evenHBand="0" w:firstRowFirstColumn="0" w:firstRowLastColumn="0" w:lastRowFirstColumn="0" w:lastRowLastColumn="0"/>
              <w:rPr>
                <w:rFonts w:ascii="Calibri" w:hAnsi="Calibri"/>
              </w:rPr>
            </w:pPr>
            <w:r w:rsidRPr="00E27162">
              <w:rPr>
                <w:rFonts w:ascii="Calibri" w:hAnsi="Calibri"/>
              </w:rPr>
              <w:t>A numeric descriptor for a postal delivery area, aligned with</w:t>
            </w:r>
            <w:r>
              <w:rPr>
                <w:rFonts w:ascii="Calibri" w:hAnsi="Calibri"/>
              </w:rPr>
              <w:t xml:space="preserve"> p</w:t>
            </w:r>
            <w:r w:rsidRPr="00E27162">
              <w:rPr>
                <w:rFonts w:ascii="Calibri" w:hAnsi="Calibri"/>
              </w:rPr>
              <w:t>lace</w:t>
            </w:r>
            <w:r>
              <w:rPr>
                <w:rFonts w:ascii="Calibri" w:hAnsi="Calibri"/>
              </w:rPr>
              <w:t xml:space="preserve"> </w:t>
            </w:r>
            <w:r w:rsidRPr="00E27162">
              <w:rPr>
                <w:rFonts w:ascii="Calibri" w:hAnsi="Calibri"/>
              </w:rPr>
              <w:t>name, suburb or locality and in some circumstances a unique</w:t>
            </w:r>
            <w:r>
              <w:rPr>
                <w:rFonts w:ascii="Calibri" w:hAnsi="Calibri"/>
              </w:rPr>
              <w:t xml:space="preserve"> </w:t>
            </w:r>
            <w:r w:rsidRPr="00E27162">
              <w:rPr>
                <w:rFonts w:ascii="Calibri" w:hAnsi="Calibri"/>
              </w:rPr>
              <w:t>Postal Delivery Type</w:t>
            </w:r>
          </w:p>
        </w:tc>
        <w:tc>
          <w:tcPr>
            <w:tcW w:w="2268" w:type="dxa"/>
            <w:shd w:val="clear" w:color="auto" w:fill="auto"/>
          </w:tcPr>
          <w:p w14:paraId="36583678" w14:textId="77777777" w:rsidR="000F422A" w:rsidRDefault="000F422A" w:rsidP="00322F41">
            <w:pPr>
              <w:cnfStyle w:val="000000100000" w:firstRow="0" w:lastRow="0" w:firstColumn="0" w:lastColumn="0" w:oddVBand="0" w:evenVBand="0" w:oddHBand="1" w:evenHBand="0" w:firstRowFirstColumn="0" w:firstRowLastColumn="0" w:lastRowFirstColumn="0" w:lastRowLastColumn="0"/>
            </w:pPr>
          </w:p>
        </w:tc>
        <w:tc>
          <w:tcPr>
            <w:tcW w:w="3827" w:type="dxa"/>
          </w:tcPr>
          <w:p w14:paraId="712E6678" w14:textId="77777777" w:rsidR="000F422A" w:rsidRPr="00496749" w:rsidRDefault="000F422A"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40DBC" w:rsidRPr="00496749" w14:paraId="0A1EA8C6"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45E97A30" w14:textId="77777777" w:rsidR="00440DBC" w:rsidRPr="002C08DA" w:rsidRDefault="00440DBC" w:rsidP="00CA0956">
            <w:r w:rsidRPr="002C08DA">
              <w:t>Client Country Of Birth Code (EDW)</w:t>
            </w:r>
          </w:p>
        </w:tc>
        <w:tc>
          <w:tcPr>
            <w:tcW w:w="5245" w:type="dxa"/>
            <w:shd w:val="clear" w:color="auto" w:fill="auto"/>
          </w:tcPr>
          <w:p w14:paraId="29014C92" w14:textId="77777777" w:rsidR="00440DBC" w:rsidRPr="004705CB"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E27162">
              <w:rPr>
                <w:rFonts w:ascii="Calibri" w:hAnsi="Calibri" w:cs="Arial"/>
              </w:rPr>
              <w:t>The country of birth of the client / patient</w:t>
            </w:r>
          </w:p>
        </w:tc>
        <w:tc>
          <w:tcPr>
            <w:tcW w:w="2268" w:type="dxa"/>
            <w:shd w:val="clear" w:color="auto" w:fill="auto"/>
          </w:tcPr>
          <w:p w14:paraId="31E33B4E" w14:textId="77777777" w:rsidR="00440DBC" w:rsidRPr="004705CB"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3827" w:type="dxa"/>
          </w:tcPr>
          <w:p w14:paraId="7566F700" w14:textId="77777777" w:rsidR="00440DBC" w:rsidRPr="00496749" w:rsidRDefault="00AC5377" w:rsidP="00AC53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C5377">
              <w:rPr>
                <w:rFonts w:ascii="Calibri" w:hAnsi="Calibri" w:cs="Calibri"/>
              </w:rPr>
              <w:t xml:space="preserve">Appendix D </w:t>
            </w:r>
          </w:p>
        </w:tc>
      </w:tr>
      <w:tr w:rsidR="00440DBC" w:rsidRPr="00496749" w14:paraId="32FE0088"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553D6B73" w14:textId="77777777" w:rsidR="00440DBC" w:rsidRPr="002C08DA" w:rsidRDefault="00440DBC" w:rsidP="00CA0956">
            <w:r w:rsidRPr="002C08DA">
              <w:t>Client Date of Birth (EDW)</w:t>
            </w:r>
          </w:p>
        </w:tc>
        <w:tc>
          <w:tcPr>
            <w:tcW w:w="5245" w:type="dxa"/>
            <w:shd w:val="clear" w:color="auto" w:fill="auto"/>
          </w:tcPr>
          <w:p w14:paraId="30500B79" w14:textId="77777777" w:rsidR="00440DBC" w:rsidRPr="004705CB"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27162">
              <w:rPr>
                <w:rFonts w:ascii="Calibri" w:hAnsi="Calibri" w:cs="Arial"/>
              </w:rPr>
              <w:t>The day, month and year on which the person being treated or</w:t>
            </w:r>
            <w:r>
              <w:rPr>
                <w:rFonts w:ascii="Calibri" w:hAnsi="Calibri" w:cs="Arial"/>
              </w:rPr>
              <w:t xml:space="preserve"> </w:t>
            </w:r>
            <w:r w:rsidRPr="00E27162">
              <w:rPr>
                <w:rFonts w:ascii="Calibri" w:hAnsi="Calibri" w:cs="Arial"/>
              </w:rPr>
              <w:t>seeking treatment was born</w:t>
            </w:r>
          </w:p>
        </w:tc>
        <w:tc>
          <w:tcPr>
            <w:tcW w:w="2268" w:type="dxa"/>
            <w:shd w:val="clear" w:color="auto" w:fill="auto"/>
          </w:tcPr>
          <w:p w14:paraId="09D4DBA1"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pPr>
            <w:r w:rsidRPr="00E27162">
              <w:rPr>
                <w:rFonts w:ascii="Calibri" w:hAnsi="Calibri" w:cs="Arial"/>
              </w:rPr>
              <w:t>YYYYMMDD</w:t>
            </w:r>
          </w:p>
        </w:tc>
        <w:tc>
          <w:tcPr>
            <w:tcW w:w="3827" w:type="dxa"/>
          </w:tcPr>
          <w:p w14:paraId="45FA6B95" w14:textId="77777777" w:rsidR="00440DBC" w:rsidRPr="002B2903"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40DBC" w:rsidRPr="00496749" w14:paraId="6B7CAEF5"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55672D3C" w14:textId="77777777" w:rsidR="00440DBC" w:rsidRPr="002C08DA" w:rsidRDefault="00440DBC" w:rsidP="00CA0956">
            <w:r w:rsidRPr="002C08DA">
              <w:t>Client DVA Insurance Cover Code (EDW)</w:t>
            </w:r>
          </w:p>
        </w:tc>
        <w:tc>
          <w:tcPr>
            <w:tcW w:w="5245" w:type="dxa"/>
            <w:shd w:val="clear" w:color="auto" w:fill="auto"/>
          </w:tcPr>
          <w:p w14:paraId="723F29BD" w14:textId="77777777" w:rsidR="00440DBC" w:rsidRPr="004705CB"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93060">
              <w:rPr>
                <w:rFonts w:ascii="Calibri" w:hAnsi="Calibri" w:cs="Arial"/>
              </w:rPr>
              <w:t>The type of health cover supplied by the Department of Veterans'</w:t>
            </w:r>
            <w:r>
              <w:rPr>
                <w:rFonts w:ascii="Calibri" w:hAnsi="Calibri" w:cs="Arial"/>
              </w:rPr>
              <w:t xml:space="preserve"> </w:t>
            </w:r>
            <w:r w:rsidRPr="00393060">
              <w:rPr>
                <w:rFonts w:ascii="Calibri" w:hAnsi="Calibri" w:cs="Arial"/>
              </w:rPr>
              <w:t>Affairs (DVA) for an eligible veteran, veterans’ spouse or dependent</w:t>
            </w:r>
            <w:r>
              <w:rPr>
                <w:rFonts w:ascii="Calibri" w:hAnsi="Calibri" w:cs="Arial"/>
              </w:rPr>
              <w:t xml:space="preserve"> </w:t>
            </w:r>
            <w:r w:rsidRPr="00393060">
              <w:rPr>
                <w:rFonts w:ascii="Calibri" w:hAnsi="Calibri" w:cs="Arial"/>
              </w:rPr>
              <w:t>child</w:t>
            </w:r>
          </w:p>
        </w:tc>
        <w:tc>
          <w:tcPr>
            <w:tcW w:w="2268" w:type="dxa"/>
            <w:shd w:val="clear" w:color="auto" w:fill="auto"/>
          </w:tcPr>
          <w:p w14:paraId="7C313AC8" w14:textId="77777777" w:rsidR="00440DB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 – Gold card</w:t>
            </w:r>
          </w:p>
          <w:p w14:paraId="07A90611" w14:textId="77777777" w:rsidR="00440DB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O – Orange card</w:t>
            </w:r>
          </w:p>
          <w:p w14:paraId="7A5A73F1" w14:textId="77777777" w:rsidR="00440DBC" w:rsidRPr="00A3619F"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 – White card</w:t>
            </w:r>
          </w:p>
        </w:tc>
        <w:tc>
          <w:tcPr>
            <w:tcW w:w="3827" w:type="dxa"/>
          </w:tcPr>
          <w:p w14:paraId="7B1EE679" w14:textId="77777777" w:rsidR="00440DBC" w:rsidRPr="002B2903" w:rsidRDefault="00AC5377"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Appendix E</w:t>
            </w:r>
          </w:p>
        </w:tc>
      </w:tr>
      <w:tr w:rsidR="00440DBC" w:rsidRPr="00496749" w14:paraId="7E5998D3"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2950E8B6" w14:textId="77777777" w:rsidR="00440DBC" w:rsidRPr="002C08DA" w:rsidRDefault="00440DBC" w:rsidP="00CA0956">
            <w:r w:rsidRPr="002C08DA">
              <w:lastRenderedPageBreak/>
              <w:t>Client Indigenous Status Code (EDW)</w:t>
            </w:r>
          </w:p>
        </w:tc>
        <w:tc>
          <w:tcPr>
            <w:tcW w:w="5245" w:type="dxa"/>
            <w:shd w:val="clear" w:color="auto" w:fill="auto"/>
          </w:tcPr>
          <w:p w14:paraId="1FFC63C3" w14:textId="77777777" w:rsidR="00440DBC" w:rsidRPr="004705CB"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93060">
              <w:rPr>
                <w:rFonts w:ascii="Calibri" w:hAnsi="Calibri" w:cs="Arial"/>
              </w:rPr>
              <w:t>Code representing whether a person identifies as being of</w:t>
            </w:r>
            <w:r>
              <w:rPr>
                <w:rFonts w:ascii="Calibri" w:hAnsi="Calibri" w:cs="Arial"/>
              </w:rPr>
              <w:t xml:space="preserve"> </w:t>
            </w:r>
            <w:r w:rsidRPr="00393060">
              <w:rPr>
                <w:rFonts w:ascii="Calibri" w:hAnsi="Calibri" w:cs="Arial"/>
              </w:rPr>
              <w:t>Aboriginal Origin or Torres</w:t>
            </w:r>
            <w:r>
              <w:rPr>
                <w:rFonts w:ascii="Calibri" w:hAnsi="Calibri" w:cs="Arial"/>
              </w:rPr>
              <w:t xml:space="preserve"> Strait Islander Origin or both</w:t>
            </w:r>
          </w:p>
        </w:tc>
        <w:tc>
          <w:tcPr>
            <w:tcW w:w="2268" w:type="dxa"/>
            <w:shd w:val="clear" w:color="auto" w:fill="auto"/>
          </w:tcPr>
          <w:p w14:paraId="308BFAEB"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Aboriginal but not Torres Strait Islander</w:t>
            </w:r>
          </w:p>
          <w:p w14:paraId="0525E35D"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 Torres Strait Islander but not Aboriginal</w:t>
            </w:r>
          </w:p>
          <w:p w14:paraId="19902008"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3 – Both Aboriginal and Torres Strait Islander</w:t>
            </w:r>
          </w:p>
          <w:p w14:paraId="4929A40E"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4 – Neither Aboriginal or Torres Strait Islander</w:t>
            </w:r>
          </w:p>
          <w:p w14:paraId="5D877C0F"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8 – Declined to Respond</w:t>
            </w:r>
          </w:p>
          <w:p w14:paraId="31AF3686" w14:textId="77777777" w:rsidR="00440DBC" w:rsidRPr="004705CB"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unknown</w:t>
            </w:r>
          </w:p>
        </w:tc>
        <w:tc>
          <w:tcPr>
            <w:tcW w:w="3827" w:type="dxa"/>
          </w:tcPr>
          <w:p w14:paraId="29CB7BD0" w14:textId="77777777" w:rsidR="00440DBC" w:rsidRPr="00496749" w:rsidRDefault="00AC5377"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Appendix F</w:t>
            </w:r>
          </w:p>
        </w:tc>
      </w:tr>
      <w:tr w:rsidR="00440DBC" w:rsidRPr="00496749" w14:paraId="5219CC33"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4E48D4AE" w14:textId="77777777" w:rsidR="00440DBC" w:rsidRPr="002C08DA" w:rsidRDefault="00440DBC" w:rsidP="00CA0956">
            <w:r w:rsidRPr="002C08DA">
              <w:t>Client Participated Flag (EDW)</w:t>
            </w:r>
          </w:p>
        </w:tc>
        <w:tc>
          <w:tcPr>
            <w:tcW w:w="5245" w:type="dxa"/>
            <w:shd w:val="clear" w:color="auto" w:fill="auto"/>
          </w:tcPr>
          <w:p w14:paraId="5B140521" w14:textId="77777777" w:rsidR="00440DBC" w:rsidRPr="00393060"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93060">
              <w:rPr>
                <w:rFonts w:ascii="Calibri" w:hAnsi="Calibri" w:cs="Arial"/>
              </w:rPr>
              <w:t>An indication of whether or not the client / patient participated in</w:t>
            </w:r>
            <w:r>
              <w:rPr>
                <w:rFonts w:ascii="Calibri" w:hAnsi="Calibri" w:cs="Arial"/>
              </w:rPr>
              <w:t xml:space="preserve"> </w:t>
            </w:r>
            <w:r w:rsidRPr="00393060">
              <w:rPr>
                <w:rFonts w:ascii="Calibri" w:hAnsi="Calibri" w:cs="Arial"/>
              </w:rPr>
              <w:t>the reported service event</w:t>
            </w:r>
          </w:p>
        </w:tc>
        <w:tc>
          <w:tcPr>
            <w:tcW w:w="2268" w:type="dxa"/>
            <w:shd w:val="clear" w:color="auto" w:fill="auto"/>
          </w:tcPr>
          <w:p w14:paraId="2A15AEBD" w14:textId="77777777" w:rsidR="00440DB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N - Client did not participate </w:t>
            </w:r>
            <w:proofErr w:type="spellStart"/>
            <w:r>
              <w:rPr>
                <w:rFonts w:ascii="Calibri" w:hAnsi="Calibri" w:cs="Arial"/>
              </w:rPr>
              <w:t>iin</w:t>
            </w:r>
            <w:proofErr w:type="spellEnd"/>
            <w:r>
              <w:rPr>
                <w:rFonts w:ascii="Calibri" w:hAnsi="Calibri" w:cs="Arial"/>
              </w:rPr>
              <w:t xml:space="preserve"> the service</w:t>
            </w:r>
          </w:p>
          <w:p w14:paraId="1CDD43C8" w14:textId="77777777" w:rsidR="00440DB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Y - Client participated in the service</w:t>
            </w:r>
          </w:p>
        </w:tc>
        <w:tc>
          <w:tcPr>
            <w:tcW w:w="3827" w:type="dxa"/>
          </w:tcPr>
          <w:p w14:paraId="6F7E0F31" w14:textId="77777777" w:rsidR="00440DBC" w:rsidRPr="00496749" w:rsidRDefault="00AC5377"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Appendix G</w:t>
            </w:r>
          </w:p>
        </w:tc>
      </w:tr>
      <w:tr w:rsidR="00440DBC" w:rsidRPr="00496749" w14:paraId="4509BBA2"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42BBB50A" w14:textId="77777777" w:rsidR="00440DBC" w:rsidRPr="002C08DA" w:rsidRDefault="00440DBC" w:rsidP="00CA0956">
            <w:r w:rsidRPr="002C08DA">
              <w:t xml:space="preserve">Client Sex Code (EDW) </w:t>
            </w:r>
          </w:p>
        </w:tc>
        <w:tc>
          <w:tcPr>
            <w:tcW w:w="5245" w:type="dxa"/>
            <w:shd w:val="clear" w:color="auto" w:fill="auto"/>
          </w:tcPr>
          <w:p w14:paraId="361D2BC8" w14:textId="77777777" w:rsidR="00440DBC" w:rsidRPr="00546DB4"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93060">
              <w:rPr>
                <w:rFonts w:ascii="Calibri" w:hAnsi="Calibri" w:cs="Arial"/>
              </w:rPr>
              <w:t>Code representing the biological distinction between male and</w:t>
            </w:r>
            <w:r>
              <w:rPr>
                <w:rFonts w:ascii="Calibri" w:hAnsi="Calibri" w:cs="Arial"/>
              </w:rPr>
              <w:t xml:space="preserve"> </w:t>
            </w:r>
            <w:r w:rsidRPr="00393060">
              <w:rPr>
                <w:rFonts w:ascii="Calibri" w:hAnsi="Calibri" w:cs="Arial"/>
              </w:rPr>
              <w:t>female for the person being treated</w:t>
            </w:r>
          </w:p>
        </w:tc>
        <w:tc>
          <w:tcPr>
            <w:tcW w:w="2268" w:type="dxa"/>
            <w:shd w:val="clear" w:color="auto" w:fill="auto"/>
          </w:tcPr>
          <w:p w14:paraId="182567C2"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Male</w:t>
            </w:r>
          </w:p>
          <w:p w14:paraId="6E0A379E"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 Female</w:t>
            </w:r>
          </w:p>
          <w:p w14:paraId="1904A6CE" w14:textId="77777777" w:rsidR="00440DBC"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3 – Indeterminate</w:t>
            </w:r>
          </w:p>
          <w:p w14:paraId="627FF0CB" w14:textId="77777777" w:rsidR="00440DBC" w:rsidRPr="00546DB4"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Unknown</w:t>
            </w:r>
          </w:p>
        </w:tc>
        <w:tc>
          <w:tcPr>
            <w:tcW w:w="3827" w:type="dxa"/>
          </w:tcPr>
          <w:p w14:paraId="61459248" w14:textId="77777777" w:rsidR="00440DBC" w:rsidRPr="00496749" w:rsidRDefault="00AC5377"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Appendix H</w:t>
            </w:r>
          </w:p>
        </w:tc>
      </w:tr>
      <w:tr w:rsidR="00440DBC" w:rsidRPr="00496749" w14:paraId="6162B221"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217009C6" w14:textId="77777777" w:rsidR="00440DBC" w:rsidRPr="002C08DA" w:rsidRDefault="00440DBC" w:rsidP="00CA0956">
            <w:r w:rsidRPr="002C08DA">
              <w:t>Consultation Liaison Indicator (EDW)</w:t>
            </w:r>
          </w:p>
        </w:tc>
        <w:tc>
          <w:tcPr>
            <w:tcW w:w="5245" w:type="dxa"/>
            <w:shd w:val="clear" w:color="auto" w:fill="auto"/>
          </w:tcPr>
          <w:p w14:paraId="6233B530" w14:textId="77777777" w:rsidR="00440DB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93060">
              <w:rPr>
                <w:rFonts w:ascii="Calibri" w:hAnsi="Calibri" w:cs="Arial"/>
              </w:rPr>
              <w:t>An indicator that the non-admitted patient service unit team</w:t>
            </w:r>
            <w:r>
              <w:rPr>
                <w:rFonts w:ascii="Calibri" w:hAnsi="Calibri" w:cs="Arial"/>
              </w:rPr>
              <w:t xml:space="preserve"> </w:t>
            </w:r>
            <w:r w:rsidRPr="00393060">
              <w:rPr>
                <w:rFonts w:ascii="Calibri" w:hAnsi="Calibri" w:cs="Arial"/>
              </w:rPr>
              <w:t>service was provided to a client / patient who was in the care of a</w:t>
            </w:r>
            <w:r>
              <w:rPr>
                <w:rFonts w:ascii="Calibri" w:hAnsi="Calibri" w:cs="Arial"/>
              </w:rPr>
              <w:t xml:space="preserve"> </w:t>
            </w:r>
            <w:r w:rsidRPr="00393060">
              <w:rPr>
                <w:rFonts w:ascii="Calibri" w:hAnsi="Calibri" w:cs="Arial"/>
              </w:rPr>
              <w:t>hospital emergency department or was an admitted patient of a</w:t>
            </w:r>
            <w:r>
              <w:rPr>
                <w:rFonts w:ascii="Calibri" w:hAnsi="Calibri" w:cs="Arial"/>
              </w:rPr>
              <w:t xml:space="preserve"> </w:t>
            </w:r>
            <w:r w:rsidRPr="00393060">
              <w:rPr>
                <w:rFonts w:ascii="Calibri" w:hAnsi="Calibri" w:cs="Arial"/>
              </w:rPr>
              <w:t>hospital or multi-purpose service at the time of the service event</w:t>
            </w:r>
          </w:p>
        </w:tc>
        <w:tc>
          <w:tcPr>
            <w:tcW w:w="2268" w:type="dxa"/>
            <w:shd w:val="clear" w:color="auto" w:fill="auto"/>
          </w:tcPr>
          <w:p w14:paraId="74BADE7B" w14:textId="77777777" w:rsidR="00440DB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N – Not a consultation liaison service</w:t>
            </w:r>
          </w:p>
          <w:p w14:paraId="3FF6120A" w14:textId="77777777" w:rsidR="00440DB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Y – Consultation Liaison Service</w:t>
            </w:r>
          </w:p>
        </w:tc>
        <w:tc>
          <w:tcPr>
            <w:tcW w:w="3827" w:type="dxa"/>
          </w:tcPr>
          <w:p w14:paraId="5E1EDF20" w14:textId="77777777" w:rsidR="00440DBC" w:rsidRPr="00496749" w:rsidRDefault="00AC5377"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Appendix I</w:t>
            </w:r>
          </w:p>
        </w:tc>
      </w:tr>
      <w:tr w:rsidR="00440DBC" w:rsidRPr="00496749" w14:paraId="2CD3061B"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22587E39" w14:textId="77777777" w:rsidR="00440DBC" w:rsidRPr="002C08DA" w:rsidRDefault="00440DBC" w:rsidP="00CA0956">
            <w:r w:rsidRPr="002C08DA">
              <w:lastRenderedPageBreak/>
              <w:t>Country Code (EDW)</w:t>
            </w:r>
          </w:p>
        </w:tc>
        <w:tc>
          <w:tcPr>
            <w:tcW w:w="5245" w:type="dxa"/>
            <w:shd w:val="clear" w:color="auto" w:fill="auto"/>
          </w:tcPr>
          <w:p w14:paraId="37EF0934" w14:textId="77777777" w:rsidR="00440DBC" w:rsidRPr="004705CB"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27162">
              <w:rPr>
                <w:rFonts w:ascii="Calibri" w:hAnsi="Calibri" w:cs="Arial"/>
              </w:rPr>
              <w:t>The recognised nation, territory or sovereign state where the client</w:t>
            </w:r>
            <w:r>
              <w:rPr>
                <w:rFonts w:ascii="Calibri" w:hAnsi="Calibri" w:cs="Arial"/>
              </w:rPr>
              <w:t xml:space="preserve"> </w:t>
            </w:r>
            <w:r w:rsidRPr="00E27162">
              <w:rPr>
                <w:rFonts w:ascii="Calibri" w:hAnsi="Calibri" w:cs="Arial"/>
              </w:rPr>
              <w:t>usually resides, as supplied via the Country of Address code</w:t>
            </w:r>
          </w:p>
        </w:tc>
        <w:tc>
          <w:tcPr>
            <w:tcW w:w="2268" w:type="dxa"/>
            <w:shd w:val="clear" w:color="auto" w:fill="auto"/>
          </w:tcPr>
          <w:p w14:paraId="6840E814" w14:textId="77777777" w:rsidR="00440DBC" w:rsidRPr="004705CB" w:rsidRDefault="00440DBC"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3827" w:type="dxa"/>
          </w:tcPr>
          <w:p w14:paraId="1D143F74" w14:textId="77777777" w:rsidR="00440DBC" w:rsidRPr="00496749" w:rsidRDefault="00047DAF" w:rsidP="00AC53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D1292">
              <w:rPr>
                <w:rFonts w:ascii="Calibri" w:hAnsi="Calibri" w:cs="Calibri"/>
              </w:rPr>
              <w:t>See Appendix J</w:t>
            </w:r>
          </w:p>
        </w:tc>
      </w:tr>
      <w:tr w:rsidR="00440DBC" w:rsidRPr="00496749" w14:paraId="4C8B3270"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369DFFCB" w14:textId="77777777" w:rsidR="00440DBC" w:rsidRPr="002C08DA" w:rsidRDefault="00440DBC" w:rsidP="003F7BF9">
            <w:r w:rsidRPr="0082268C">
              <w:t>Derived National Service Event Record Natural Key (EDW)</w:t>
            </w:r>
          </w:p>
        </w:tc>
        <w:tc>
          <w:tcPr>
            <w:tcW w:w="5245" w:type="dxa"/>
            <w:shd w:val="clear" w:color="auto" w:fill="auto"/>
          </w:tcPr>
          <w:p w14:paraId="666ADB3F" w14:textId="77777777" w:rsidR="00440DBC" w:rsidRPr="004705CB"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93060">
              <w:rPr>
                <w:rFonts w:ascii="Calibri" w:hAnsi="Calibri" w:cs="Arial"/>
              </w:rPr>
              <w:t xml:space="preserve">The </w:t>
            </w:r>
            <w:proofErr w:type="spellStart"/>
            <w:r w:rsidRPr="00393060">
              <w:rPr>
                <w:rFonts w:ascii="Calibri" w:hAnsi="Calibri" w:cs="Arial"/>
              </w:rPr>
              <w:t>concatentation</w:t>
            </w:r>
            <w:proofErr w:type="spellEnd"/>
            <w:r w:rsidRPr="00393060">
              <w:rPr>
                <w:rFonts w:ascii="Calibri" w:hAnsi="Calibri" w:cs="Arial"/>
              </w:rPr>
              <w:t xml:space="preserve"> of the Client Identifier, Service Unit Identifier,</w:t>
            </w:r>
            <w:r>
              <w:rPr>
                <w:rFonts w:ascii="Calibri" w:hAnsi="Calibri" w:cs="Arial"/>
              </w:rPr>
              <w:t xml:space="preserve"> </w:t>
            </w:r>
            <w:r w:rsidRPr="00393060">
              <w:rPr>
                <w:rFonts w:ascii="Calibri" w:hAnsi="Calibri" w:cs="Arial"/>
              </w:rPr>
              <w:t>and Service Event Start Date</w:t>
            </w:r>
          </w:p>
        </w:tc>
        <w:tc>
          <w:tcPr>
            <w:tcW w:w="2268" w:type="dxa"/>
            <w:shd w:val="clear" w:color="auto" w:fill="auto"/>
          </w:tcPr>
          <w:p w14:paraId="2C69EB30" w14:textId="77777777" w:rsidR="00440DBC" w:rsidRPr="004705CB"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olor w:val="008800"/>
                <w:sz w:val="20"/>
                <w:szCs w:val="20"/>
              </w:rPr>
            </w:pPr>
          </w:p>
        </w:tc>
        <w:tc>
          <w:tcPr>
            <w:tcW w:w="3827" w:type="dxa"/>
          </w:tcPr>
          <w:p w14:paraId="7670481B" w14:textId="77777777" w:rsidR="00440DBC" w:rsidRPr="00496749" w:rsidRDefault="00524FC2"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This data item to be encrypted</w:t>
            </w:r>
          </w:p>
        </w:tc>
      </w:tr>
      <w:tr w:rsidR="008E6754" w:rsidRPr="00496749" w14:paraId="2E55817C"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131ACBA1" w14:textId="77777777" w:rsidR="008E6754" w:rsidRPr="0082268C" w:rsidRDefault="008E6754" w:rsidP="003F7BF9">
            <w:r>
              <w:t>Final NWAU</w:t>
            </w:r>
          </w:p>
        </w:tc>
        <w:tc>
          <w:tcPr>
            <w:tcW w:w="5245" w:type="dxa"/>
            <w:shd w:val="clear" w:color="auto" w:fill="auto"/>
          </w:tcPr>
          <w:p w14:paraId="0602AA45" w14:textId="77777777" w:rsidR="008E6754" w:rsidRPr="00393060" w:rsidRDefault="00E87768" w:rsidP="00E61120">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The Final NWAU refers to the calculated value after all adjustments have been applied. </w:t>
            </w:r>
          </w:p>
        </w:tc>
        <w:tc>
          <w:tcPr>
            <w:tcW w:w="2268" w:type="dxa"/>
            <w:shd w:val="clear" w:color="auto" w:fill="auto"/>
          </w:tcPr>
          <w:p w14:paraId="2F4AD72F"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olor w:val="008800"/>
                <w:sz w:val="20"/>
                <w:szCs w:val="20"/>
              </w:rPr>
            </w:pPr>
          </w:p>
        </w:tc>
        <w:tc>
          <w:tcPr>
            <w:tcW w:w="3827" w:type="dxa"/>
          </w:tcPr>
          <w:p w14:paraId="652DEFCD" w14:textId="77777777" w:rsidR="008E6754" w:rsidRPr="00496749"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40DBC" w:rsidRPr="00496749" w14:paraId="3D852722"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21554F1C" w14:textId="77777777" w:rsidR="00440DBC" w:rsidRPr="002C08DA" w:rsidRDefault="00440DBC" w:rsidP="003F7BF9">
            <w:r w:rsidRPr="002C08DA">
              <w:t>Group Session Flag (EDW)</w:t>
            </w:r>
          </w:p>
        </w:tc>
        <w:tc>
          <w:tcPr>
            <w:tcW w:w="5245" w:type="dxa"/>
            <w:shd w:val="clear" w:color="auto" w:fill="auto"/>
          </w:tcPr>
          <w:p w14:paraId="60C8AF93" w14:textId="77777777" w:rsidR="00440DBC" w:rsidRPr="00A64BE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93060">
              <w:rPr>
                <w:rFonts w:ascii="Calibri" w:hAnsi="Calibri" w:cs="Arial"/>
              </w:rPr>
              <w:t>An instance of service provision by one or more Individual Service</w:t>
            </w:r>
            <w:r>
              <w:rPr>
                <w:rFonts w:ascii="Calibri" w:hAnsi="Calibri" w:cs="Arial"/>
              </w:rPr>
              <w:t xml:space="preserve"> </w:t>
            </w:r>
            <w:r w:rsidRPr="00393060">
              <w:rPr>
                <w:rFonts w:ascii="Calibri" w:hAnsi="Calibri" w:cs="Arial"/>
              </w:rPr>
              <w:t>Providers that is targeted to a set of related problems or issues</w:t>
            </w:r>
            <w:r>
              <w:rPr>
                <w:rFonts w:ascii="Calibri" w:hAnsi="Calibri" w:cs="Arial"/>
              </w:rPr>
              <w:t xml:space="preserve"> </w:t>
            </w:r>
            <w:r w:rsidRPr="00393060">
              <w:rPr>
                <w:rFonts w:ascii="Calibri" w:hAnsi="Calibri" w:cs="Arial"/>
              </w:rPr>
              <w:t>shared by two or more registered clients/patients</w:t>
            </w:r>
          </w:p>
        </w:tc>
        <w:tc>
          <w:tcPr>
            <w:tcW w:w="2268" w:type="dxa"/>
            <w:shd w:val="clear" w:color="auto" w:fill="auto"/>
          </w:tcPr>
          <w:p w14:paraId="0E048268" w14:textId="77777777" w:rsidR="00440DBC" w:rsidRPr="001F5622"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bCs/>
                <w:shd w:val="clear" w:color="auto" w:fill="FFFFFF"/>
              </w:rPr>
            </w:pPr>
            <w:r w:rsidRPr="001F5622">
              <w:rPr>
                <w:rFonts w:ascii="Calibri" w:hAnsi="Calibri"/>
                <w:bCs/>
                <w:shd w:val="clear" w:color="auto" w:fill="FFFFFF"/>
              </w:rPr>
              <w:t>N – Individual Session</w:t>
            </w:r>
          </w:p>
          <w:p w14:paraId="5E0B87C0" w14:textId="77777777" w:rsidR="00440DBC" w:rsidRPr="00A64BEC"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bCs/>
                <w:color w:val="000066"/>
                <w:shd w:val="clear" w:color="auto" w:fill="FFFFFF"/>
              </w:rPr>
            </w:pPr>
            <w:r w:rsidRPr="001F5622">
              <w:rPr>
                <w:rFonts w:ascii="Calibri" w:hAnsi="Calibri"/>
                <w:bCs/>
                <w:shd w:val="clear" w:color="auto" w:fill="FFFFFF"/>
              </w:rPr>
              <w:t>Y – Group Session</w:t>
            </w:r>
          </w:p>
        </w:tc>
        <w:tc>
          <w:tcPr>
            <w:tcW w:w="3827" w:type="dxa"/>
          </w:tcPr>
          <w:p w14:paraId="7B63C4E3" w14:textId="77777777" w:rsidR="00440DBC" w:rsidRPr="00496749" w:rsidRDefault="00047DAF"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Appendix K</w:t>
            </w:r>
          </w:p>
        </w:tc>
      </w:tr>
      <w:tr w:rsidR="00F372E1" w:rsidRPr="00496749" w14:paraId="6FB0AE93"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383B2822" w14:textId="77777777" w:rsidR="00F372E1" w:rsidRPr="002C08DA" w:rsidRDefault="00F372E1" w:rsidP="003F7BF9">
            <w:r>
              <w:t>Indigenous Adjustment Indicator</w:t>
            </w:r>
          </w:p>
        </w:tc>
        <w:tc>
          <w:tcPr>
            <w:tcW w:w="5245" w:type="dxa"/>
            <w:shd w:val="clear" w:color="auto" w:fill="auto"/>
          </w:tcPr>
          <w:p w14:paraId="507F5F97" w14:textId="77777777" w:rsidR="00F372E1" w:rsidRPr="00393060" w:rsidRDefault="00F372E1" w:rsidP="00F372E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Calibri"/>
              </w:rPr>
              <w:t xml:space="preserve">An indicator that the indigenous client adjustor was applied to the </w:t>
            </w:r>
            <w:proofErr w:type="spellStart"/>
            <w:r>
              <w:rPr>
                <w:rFonts w:ascii="Calibri" w:hAnsi="Calibri" w:cs="Calibri"/>
              </w:rPr>
              <w:t>esrvice</w:t>
            </w:r>
            <w:proofErr w:type="spellEnd"/>
            <w:r>
              <w:rPr>
                <w:rFonts w:ascii="Calibri" w:hAnsi="Calibri" w:cs="Calibri"/>
              </w:rPr>
              <w:t xml:space="preserve"> event for calculation of the final NWAU</w:t>
            </w:r>
          </w:p>
        </w:tc>
        <w:tc>
          <w:tcPr>
            <w:tcW w:w="2268" w:type="dxa"/>
            <w:shd w:val="clear" w:color="auto" w:fill="auto"/>
          </w:tcPr>
          <w:p w14:paraId="41830962" w14:textId="77777777" w:rsidR="00F372E1" w:rsidRDefault="00F372E1" w:rsidP="00322F41">
            <w:pPr>
              <w:cnfStyle w:val="000000100000" w:firstRow="0" w:lastRow="0" w:firstColumn="0" w:lastColumn="0" w:oddVBand="0" w:evenVBand="0" w:oddHBand="1" w:evenHBand="0" w:firstRowFirstColumn="0" w:firstRowLastColumn="0" w:lastRowFirstColumn="0" w:lastRowLastColumn="0"/>
              <w:rPr>
                <w:rFonts w:ascii="Calibri" w:hAnsi="Calibri"/>
                <w:bCs/>
                <w:color w:val="000066"/>
                <w:shd w:val="clear" w:color="auto" w:fill="FFFFFF"/>
              </w:rPr>
            </w:pPr>
          </w:p>
        </w:tc>
        <w:tc>
          <w:tcPr>
            <w:tcW w:w="3827" w:type="dxa"/>
          </w:tcPr>
          <w:p w14:paraId="5B0BD329" w14:textId="77777777" w:rsidR="00F372E1" w:rsidRPr="00496749" w:rsidRDefault="00F372E1"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40DBC" w:rsidRPr="00496749" w14:paraId="0812E8A6"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68261FB5" w14:textId="77777777" w:rsidR="00440DBC" w:rsidRPr="002C08DA" w:rsidRDefault="00440DBC" w:rsidP="00CA0956">
            <w:r w:rsidRPr="002C08DA">
              <w:t>Individual Service Provider Discipline Specialty Code (EDW)</w:t>
            </w:r>
          </w:p>
        </w:tc>
        <w:tc>
          <w:tcPr>
            <w:tcW w:w="5245" w:type="dxa"/>
            <w:shd w:val="clear" w:color="auto" w:fill="auto"/>
          </w:tcPr>
          <w:p w14:paraId="199B4896" w14:textId="77777777" w:rsidR="00440DBC" w:rsidRPr="00B6244D"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93060">
              <w:rPr>
                <w:rFonts w:ascii="Calibri" w:hAnsi="Calibri" w:cs="Arial"/>
              </w:rPr>
              <w:t>The discipline, specialty (field of practice) or specialisation of the</w:t>
            </w:r>
            <w:r>
              <w:rPr>
                <w:rFonts w:ascii="Calibri" w:hAnsi="Calibri" w:cs="Arial"/>
              </w:rPr>
              <w:t xml:space="preserve"> </w:t>
            </w:r>
            <w:r w:rsidRPr="00393060">
              <w:rPr>
                <w:rFonts w:ascii="Calibri" w:hAnsi="Calibri" w:cs="Arial"/>
              </w:rPr>
              <w:t>individual service provider involved with the request for service</w:t>
            </w:r>
          </w:p>
        </w:tc>
        <w:tc>
          <w:tcPr>
            <w:tcW w:w="2268" w:type="dxa"/>
            <w:shd w:val="clear" w:color="auto" w:fill="auto"/>
          </w:tcPr>
          <w:p w14:paraId="753C5032" w14:textId="77777777" w:rsidR="00440DBC" w:rsidRPr="007D325E"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D325E">
              <w:rPr>
                <w:rFonts w:ascii="Calibri" w:hAnsi="Calibri" w:cs="Arial"/>
              </w:rPr>
              <w:t>The basis of this classification is the Australian and New Zealand</w:t>
            </w:r>
          </w:p>
          <w:p w14:paraId="25DD86BA" w14:textId="77777777" w:rsidR="00440DBC" w:rsidRPr="007D325E"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D325E">
              <w:rPr>
                <w:rFonts w:ascii="Calibri" w:hAnsi="Calibri" w:cs="Arial"/>
              </w:rPr>
              <w:t>Standard Classification of Occupations (ANZCO), 2013, Version 1.2</w:t>
            </w:r>
          </w:p>
          <w:p w14:paraId="3E864B16" w14:textId="77777777" w:rsidR="00440DBC" w:rsidRPr="004705CB" w:rsidRDefault="00440DBC"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D325E">
              <w:rPr>
                <w:rFonts w:ascii="Calibri" w:hAnsi="Calibri" w:cs="Arial"/>
              </w:rPr>
              <w:t xml:space="preserve">(Australian Bureau of Statistics Catalogue Number 1220.0). </w:t>
            </w:r>
          </w:p>
        </w:tc>
        <w:tc>
          <w:tcPr>
            <w:tcW w:w="3827" w:type="dxa"/>
          </w:tcPr>
          <w:p w14:paraId="40FB69B4" w14:textId="77777777" w:rsidR="00440DBC" w:rsidRPr="00496749" w:rsidRDefault="00047DAF"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Appendix L</w:t>
            </w:r>
          </w:p>
        </w:tc>
      </w:tr>
      <w:tr w:rsidR="00B30404" w:rsidRPr="00496749" w14:paraId="2CBF43C9"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5873DC01" w14:textId="77777777" w:rsidR="00B30404" w:rsidRPr="00A209E0" w:rsidRDefault="00B30404" w:rsidP="00322F41">
            <w:r w:rsidRPr="00A209E0">
              <w:t>Initial Or S</w:t>
            </w:r>
            <w:r>
              <w:t>ubsequent Service Code (EDW)</w:t>
            </w:r>
          </w:p>
          <w:p w14:paraId="6FCBF8F0" w14:textId="77777777" w:rsidR="00B30404" w:rsidRDefault="00B30404" w:rsidP="00322F41"/>
        </w:tc>
        <w:tc>
          <w:tcPr>
            <w:tcW w:w="5245" w:type="dxa"/>
            <w:shd w:val="clear" w:color="auto" w:fill="auto"/>
          </w:tcPr>
          <w:p w14:paraId="7F1A0293" w14:textId="77777777" w:rsidR="00B30404" w:rsidRPr="00115828" w:rsidRDefault="00B30404" w:rsidP="00322F41">
            <w:pPr>
              <w:spacing w:before="48" w:after="19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5828">
              <w:rPr>
                <w:rFonts w:ascii="Calibri" w:hAnsi="Calibri" w:cs="Calibri"/>
              </w:rPr>
              <w:t>An indicator of whether the service event is the first service event for a new request for service (referral) or a follow up service event.</w:t>
            </w:r>
          </w:p>
        </w:tc>
        <w:tc>
          <w:tcPr>
            <w:tcW w:w="2268" w:type="dxa"/>
            <w:shd w:val="clear" w:color="auto" w:fill="auto"/>
          </w:tcPr>
          <w:p w14:paraId="23E1B71E" w14:textId="77777777" w:rsidR="00B30404" w:rsidRPr="00560CF9" w:rsidRDefault="00B3040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60CF9">
              <w:rPr>
                <w:rFonts w:ascii="Calibri" w:hAnsi="Calibri" w:cs="Calibri"/>
              </w:rPr>
              <w:t>1 – Initial Consult</w:t>
            </w:r>
          </w:p>
          <w:p w14:paraId="253ABB2A" w14:textId="77777777" w:rsidR="00B30404" w:rsidRPr="00560CF9" w:rsidRDefault="00B3040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60CF9">
              <w:rPr>
                <w:rFonts w:ascii="Calibri" w:hAnsi="Calibri" w:cs="Calibri"/>
              </w:rPr>
              <w:t>2 – Subsequent consult</w:t>
            </w:r>
          </w:p>
          <w:p w14:paraId="592AF5C0" w14:textId="77777777" w:rsidR="00B30404" w:rsidRPr="00560CF9" w:rsidRDefault="00B3040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60CF9">
              <w:rPr>
                <w:rFonts w:ascii="Calibri" w:hAnsi="Calibri" w:cs="Calibri"/>
              </w:rPr>
              <w:t>9 – EXPI</w:t>
            </w:r>
            <w:r w:rsidR="00E87768">
              <w:rPr>
                <w:rFonts w:ascii="Calibri" w:hAnsi="Calibri" w:cs="Calibri"/>
              </w:rPr>
              <w:t>R</w:t>
            </w:r>
            <w:r w:rsidRPr="00560CF9">
              <w:rPr>
                <w:rFonts w:ascii="Calibri" w:hAnsi="Calibri" w:cs="Calibri"/>
              </w:rPr>
              <w:t>ED: Unknown</w:t>
            </w:r>
          </w:p>
        </w:tc>
        <w:tc>
          <w:tcPr>
            <w:tcW w:w="3827" w:type="dxa"/>
          </w:tcPr>
          <w:p w14:paraId="6022A921" w14:textId="77777777" w:rsidR="00B30404" w:rsidRPr="00496749" w:rsidRDefault="006916DD" w:rsidP="00047DAF">
            <w:pPr>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12" w:history="1">
              <w:r w:rsidR="00047DAF">
                <w:rPr>
                  <w:rFonts w:ascii="Calibri" w:hAnsi="Calibri" w:cs="Calibri"/>
                </w:rPr>
                <w:t xml:space="preserve"> See Appendix M</w:t>
              </w:r>
            </w:hyperlink>
          </w:p>
        </w:tc>
      </w:tr>
      <w:tr w:rsidR="00D87554" w:rsidRPr="00496749" w14:paraId="435FF89A"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409845F8" w14:textId="77777777" w:rsidR="00D87554" w:rsidRPr="00A209E0" w:rsidRDefault="00D87554" w:rsidP="00322F41">
            <w:r>
              <w:lastRenderedPageBreak/>
              <w:t>Management Authority Full Name (EDW)</w:t>
            </w:r>
          </w:p>
        </w:tc>
        <w:tc>
          <w:tcPr>
            <w:tcW w:w="5245" w:type="dxa"/>
            <w:shd w:val="clear" w:color="auto" w:fill="auto"/>
          </w:tcPr>
          <w:p w14:paraId="2CC10DAB" w14:textId="77777777" w:rsidR="00D87554" w:rsidRPr="00115828" w:rsidRDefault="00D87554" w:rsidP="00322F41">
            <w:pPr>
              <w:spacing w:before="48" w:after="19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7554">
              <w:rPr>
                <w:rFonts w:ascii="Calibri" w:hAnsi="Calibri" w:cs="Calibri"/>
              </w:rPr>
              <w:t>The 'Full Standardised Name' of the Organisation Service Provider, where the OSP belongs to the Management Authority level of the hierarchy.</w:t>
            </w:r>
          </w:p>
        </w:tc>
        <w:tc>
          <w:tcPr>
            <w:tcW w:w="2268" w:type="dxa"/>
            <w:shd w:val="clear" w:color="auto" w:fill="auto"/>
          </w:tcPr>
          <w:p w14:paraId="0536130B" w14:textId="77777777" w:rsidR="00D87554" w:rsidRPr="00560CF9" w:rsidRDefault="00D875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827" w:type="dxa"/>
          </w:tcPr>
          <w:p w14:paraId="06855023" w14:textId="77777777" w:rsidR="00D87554" w:rsidRPr="00496749" w:rsidRDefault="00D875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D19BF" w:rsidRPr="00496749" w14:paraId="7A068457"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53D0F407" w14:textId="77777777" w:rsidR="001D19BF" w:rsidRDefault="001D19BF" w:rsidP="00322F41">
            <w:r>
              <w:t>Management Authority HERO Identifier (NAP Activity Data Mart) 1.0</w:t>
            </w:r>
          </w:p>
        </w:tc>
        <w:tc>
          <w:tcPr>
            <w:tcW w:w="5245" w:type="dxa"/>
            <w:shd w:val="clear" w:color="auto" w:fill="auto"/>
          </w:tcPr>
          <w:p w14:paraId="122E8058" w14:textId="77777777" w:rsidR="001D19BF" w:rsidRPr="00D87554" w:rsidRDefault="001D19BF" w:rsidP="00322F41">
            <w:pPr>
              <w:spacing w:before="48" w:after="19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D19BF">
              <w:rPr>
                <w:rFonts w:ascii="Calibri" w:hAnsi="Calibri" w:cs="Calibri"/>
              </w:rPr>
              <w:t xml:space="preserve">The Local Health District or Specialist Health Network Identifier, as assigned by </w:t>
            </w:r>
            <w:r w:rsidR="00B97BEE">
              <w:rPr>
                <w:rFonts w:ascii="Calibri" w:hAnsi="Calibri" w:cs="Calibri"/>
              </w:rPr>
              <w:t>Health Entities Registry Online (</w:t>
            </w:r>
            <w:r w:rsidRPr="001D19BF">
              <w:rPr>
                <w:rFonts w:ascii="Calibri" w:hAnsi="Calibri" w:cs="Calibri"/>
              </w:rPr>
              <w:t>HERO</w:t>
            </w:r>
            <w:r w:rsidR="00B97BEE">
              <w:rPr>
                <w:rFonts w:ascii="Calibri" w:hAnsi="Calibri" w:cs="Calibri"/>
              </w:rPr>
              <w:t>)</w:t>
            </w:r>
            <w:r w:rsidRPr="001D19BF">
              <w:rPr>
                <w:rFonts w:ascii="Calibri" w:hAnsi="Calibri" w:cs="Calibri"/>
              </w:rPr>
              <w:t>.</w:t>
            </w:r>
          </w:p>
        </w:tc>
        <w:tc>
          <w:tcPr>
            <w:tcW w:w="2268" w:type="dxa"/>
            <w:shd w:val="clear" w:color="auto" w:fill="auto"/>
          </w:tcPr>
          <w:p w14:paraId="1CFE749B" w14:textId="77777777" w:rsidR="001D19BF" w:rsidRPr="00560CF9" w:rsidRDefault="001D19B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827" w:type="dxa"/>
          </w:tcPr>
          <w:p w14:paraId="68CC2078" w14:textId="77777777" w:rsidR="001D19BF" w:rsidRPr="00496749" w:rsidRDefault="001D19B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372E1" w:rsidRPr="00496749" w14:paraId="5ED08359"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670FFB42" w14:textId="77777777" w:rsidR="00F372E1" w:rsidRPr="00A209E0" w:rsidRDefault="00F372E1" w:rsidP="00322F41">
            <w:r>
              <w:t>Multiple Service Provider NHDD Flag</w:t>
            </w:r>
          </w:p>
        </w:tc>
        <w:tc>
          <w:tcPr>
            <w:tcW w:w="5245" w:type="dxa"/>
            <w:shd w:val="clear" w:color="auto" w:fill="auto"/>
          </w:tcPr>
          <w:p w14:paraId="6B270457" w14:textId="77777777" w:rsidR="00F372E1" w:rsidRPr="00115828" w:rsidRDefault="00F372E1" w:rsidP="00B97BEE">
            <w:pPr>
              <w:spacing w:before="48" w:after="192"/>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flag to indicate that a multiple service provider </w:t>
            </w:r>
            <w:r w:rsidR="00B97BEE">
              <w:rPr>
                <w:rFonts w:ascii="Calibri" w:hAnsi="Calibri" w:cs="Calibri"/>
              </w:rPr>
              <w:t xml:space="preserve">adjustor </w:t>
            </w:r>
            <w:r>
              <w:rPr>
                <w:rFonts w:ascii="Calibri" w:hAnsi="Calibri" w:cs="Calibri"/>
              </w:rPr>
              <w:t xml:space="preserve">was applied to the </w:t>
            </w:r>
            <w:r w:rsidR="00B97BEE">
              <w:rPr>
                <w:rFonts w:ascii="Calibri" w:hAnsi="Calibri" w:cs="Calibri"/>
              </w:rPr>
              <w:t xml:space="preserve">service </w:t>
            </w:r>
            <w:r>
              <w:rPr>
                <w:rFonts w:ascii="Calibri" w:hAnsi="Calibri" w:cs="Calibri"/>
              </w:rPr>
              <w:t>event for calculation of the final NWAU</w:t>
            </w:r>
          </w:p>
        </w:tc>
        <w:tc>
          <w:tcPr>
            <w:tcW w:w="2268" w:type="dxa"/>
            <w:shd w:val="clear" w:color="auto" w:fill="auto"/>
          </w:tcPr>
          <w:p w14:paraId="52DE76FD" w14:textId="77777777" w:rsidR="00F372E1" w:rsidRPr="00560CF9" w:rsidRDefault="00F372E1"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827" w:type="dxa"/>
          </w:tcPr>
          <w:p w14:paraId="3B87ABA4" w14:textId="77777777" w:rsidR="00F372E1" w:rsidRPr="007F1B1C" w:rsidRDefault="00047DAF"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See Appendix N</w:t>
            </w:r>
          </w:p>
        </w:tc>
      </w:tr>
      <w:tr w:rsidR="008E6754" w:rsidRPr="00496749" w14:paraId="311BAF6D"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04BE632" w14:textId="77777777" w:rsidR="008E6754" w:rsidRPr="002C08DA" w:rsidRDefault="008E6754" w:rsidP="00322F41">
            <w:r>
              <w:t>Non-admitted Patient Base NWAU (EDW)</w:t>
            </w:r>
          </w:p>
        </w:tc>
        <w:tc>
          <w:tcPr>
            <w:tcW w:w="5245" w:type="dxa"/>
            <w:shd w:val="clear" w:color="auto" w:fill="auto"/>
          </w:tcPr>
          <w:p w14:paraId="7ACABF1D" w14:textId="77777777" w:rsidR="008E6754" w:rsidRPr="007D325E" w:rsidRDefault="008E6754" w:rsidP="00B97BEE">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The NWAU before the application of adjustors, e.g. Indigenous adjustor.</w:t>
            </w:r>
          </w:p>
        </w:tc>
        <w:tc>
          <w:tcPr>
            <w:tcW w:w="2268" w:type="dxa"/>
            <w:shd w:val="clear" w:color="auto" w:fill="auto"/>
          </w:tcPr>
          <w:p w14:paraId="4F12A928"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3827" w:type="dxa"/>
          </w:tcPr>
          <w:p w14:paraId="19F041DE" w14:textId="77777777" w:rsidR="008E6754" w:rsidRPr="00496749"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E6754" w:rsidRPr="00496749" w14:paraId="555E3FCA"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E25B0E8" w14:textId="77777777" w:rsidR="008E6754" w:rsidRDefault="008E6754" w:rsidP="00322F41">
            <w:r>
              <w:t>Non-admitted Patient Final NWAU (EDW)</w:t>
            </w:r>
          </w:p>
        </w:tc>
        <w:tc>
          <w:tcPr>
            <w:tcW w:w="5245" w:type="dxa"/>
            <w:shd w:val="clear" w:color="auto" w:fill="auto"/>
          </w:tcPr>
          <w:p w14:paraId="5700729F" w14:textId="77777777" w:rsidR="008E6754" w:rsidRPr="007D325E" w:rsidRDefault="008E6754" w:rsidP="00B97BEE">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Total NAP NWAU.  The NWAU after application of adjustors e.g. </w:t>
            </w:r>
            <w:proofErr w:type="spellStart"/>
            <w:r>
              <w:rPr>
                <w:rFonts w:ascii="Calibri" w:hAnsi="Calibri" w:cs="Arial"/>
              </w:rPr>
              <w:t>Indigneous</w:t>
            </w:r>
            <w:proofErr w:type="spellEnd"/>
            <w:r>
              <w:rPr>
                <w:rFonts w:ascii="Calibri" w:hAnsi="Calibri" w:cs="Arial"/>
              </w:rPr>
              <w:t xml:space="preserve"> adjustor.</w:t>
            </w:r>
          </w:p>
        </w:tc>
        <w:tc>
          <w:tcPr>
            <w:tcW w:w="2268" w:type="dxa"/>
            <w:shd w:val="clear" w:color="auto" w:fill="auto"/>
          </w:tcPr>
          <w:p w14:paraId="473A1C65" w14:textId="77777777" w:rsidR="008E6754" w:rsidRPr="004705C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3827" w:type="dxa"/>
          </w:tcPr>
          <w:p w14:paraId="1B603858" w14:textId="77777777" w:rsidR="008E6754" w:rsidRPr="00496749"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E6754" w:rsidRPr="00496749" w14:paraId="59ED9DDB"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1BC20E96" w14:textId="77777777" w:rsidR="008E6754" w:rsidRPr="002C08DA" w:rsidRDefault="008E6754" w:rsidP="00CA0956">
            <w:r w:rsidRPr="002C08DA">
              <w:t>Non-admitted Financial Class Code (EDW)</w:t>
            </w:r>
          </w:p>
        </w:tc>
        <w:tc>
          <w:tcPr>
            <w:tcW w:w="5245" w:type="dxa"/>
            <w:shd w:val="clear" w:color="auto" w:fill="auto"/>
          </w:tcPr>
          <w:p w14:paraId="7EB66109"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D325E">
              <w:rPr>
                <w:rFonts w:ascii="Calibri" w:hAnsi="Calibri" w:cs="Arial"/>
              </w:rPr>
              <w:t>The financial class indicates the source of revenue and funding that</w:t>
            </w:r>
            <w:r>
              <w:rPr>
                <w:rFonts w:ascii="Calibri" w:hAnsi="Calibri" w:cs="Arial"/>
              </w:rPr>
              <w:t xml:space="preserve"> </w:t>
            </w:r>
            <w:r w:rsidRPr="007D325E">
              <w:rPr>
                <w:rFonts w:ascii="Calibri" w:hAnsi="Calibri" w:cs="Arial"/>
              </w:rPr>
              <w:t>covers the costs of the service to a client / patient both</w:t>
            </w:r>
          </w:p>
        </w:tc>
        <w:tc>
          <w:tcPr>
            <w:tcW w:w="2268" w:type="dxa"/>
            <w:shd w:val="clear" w:color="auto" w:fill="auto"/>
          </w:tcPr>
          <w:p w14:paraId="35B5A097"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3827" w:type="dxa"/>
          </w:tcPr>
          <w:p w14:paraId="13DE8053" w14:textId="77777777" w:rsidR="008E6754" w:rsidRPr="00496749"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See Appendix O</w:t>
            </w:r>
          </w:p>
        </w:tc>
      </w:tr>
      <w:tr w:rsidR="008E6754" w:rsidRPr="00496749" w14:paraId="40A870F7"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BCDD31F" w14:textId="77777777" w:rsidR="008E6754" w:rsidRDefault="008E6754" w:rsidP="00322F41">
            <w:r>
              <w:t>Non-admitted Patient  National Weighted Activity Unit Version</w:t>
            </w:r>
          </w:p>
        </w:tc>
        <w:tc>
          <w:tcPr>
            <w:tcW w:w="5245" w:type="dxa"/>
            <w:shd w:val="clear" w:color="auto" w:fill="auto"/>
          </w:tcPr>
          <w:p w14:paraId="722909B3" w14:textId="77777777" w:rsidR="008E6754" w:rsidRPr="00115828" w:rsidRDefault="008E6754" w:rsidP="00322F41">
            <w:pPr>
              <w:spacing w:before="48" w:after="19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5828">
              <w:rPr>
                <w:rFonts w:ascii="Calibri" w:hAnsi="Calibri" w:cs="Calibri"/>
              </w:rPr>
              <w:t>Non-admitted Patient National Weighted Activity Unit NWAU Version (NAP Activity Data Mart)</w:t>
            </w:r>
          </w:p>
          <w:p w14:paraId="2B661622" w14:textId="77777777" w:rsidR="008E6754" w:rsidRPr="00115828" w:rsidRDefault="008E6754" w:rsidP="00322F41">
            <w:pPr>
              <w:spacing w:before="48" w:after="19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268" w:type="dxa"/>
            <w:shd w:val="clear" w:color="auto" w:fill="auto"/>
          </w:tcPr>
          <w:p w14:paraId="066BE4CE" w14:textId="77777777" w:rsidR="008E6754" w:rsidRPr="00560CF9"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827" w:type="dxa"/>
          </w:tcPr>
          <w:p w14:paraId="74356D21" w14:textId="77777777" w:rsidR="008E6754" w:rsidRPr="00496749" w:rsidRDefault="00047DAF"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See Appendix P</w:t>
            </w:r>
          </w:p>
        </w:tc>
      </w:tr>
      <w:tr w:rsidR="008E6754" w:rsidRPr="00496749" w14:paraId="16BC2B7C"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190295D0" w14:textId="77777777" w:rsidR="008E6754" w:rsidRPr="002C08DA" w:rsidRDefault="008E6754" w:rsidP="003F7BF9">
            <w:r w:rsidRPr="002C08DA">
              <w:t>Non-admitted Patient Service Type Code (EDW)</w:t>
            </w:r>
          </w:p>
        </w:tc>
        <w:tc>
          <w:tcPr>
            <w:tcW w:w="5245" w:type="dxa"/>
            <w:shd w:val="clear" w:color="auto" w:fill="auto"/>
          </w:tcPr>
          <w:p w14:paraId="133A1D7D" w14:textId="77777777" w:rsidR="008E6754" w:rsidRDefault="008E6754" w:rsidP="00E6112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616AF">
              <w:rPr>
                <w:rFonts w:ascii="Calibri" w:hAnsi="Calibri" w:cs="Arial"/>
              </w:rPr>
              <w:t>A classification of clinical service groups and clinical non-admitted</w:t>
            </w:r>
            <w:r w:rsidR="00E61120">
              <w:rPr>
                <w:rFonts w:ascii="Calibri" w:hAnsi="Calibri" w:cs="Arial"/>
              </w:rPr>
              <w:t xml:space="preserve"> </w:t>
            </w:r>
            <w:r w:rsidRPr="003616AF">
              <w:rPr>
                <w:rFonts w:ascii="Calibri" w:hAnsi="Calibri" w:cs="Arial"/>
              </w:rPr>
              <w:t>patient services provided to non-admitted patients</w:t>
            </w:r>
          </w:p>
        </w:tc>
        <w:tc>
          <w:tcPr>
            <w:tcW w:w="2268" w:type="dxa"/>
            <w:shd w:val="clear" w:color="auto" w:fill="auto"/>
          </w:tcPr>
          <w:p w14:paraId="3789FE7B"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p>
        </w:tc>
        <w:tc>
          <w:tcPr>
            <w:tcW w:w="3827" w:type="dxa"/>
          </w:tcPr>
          <w:p w14:paraId="43F485C2" w14:textId="77777777" w:rsidR="008E6754" w:rsidRPr="00496749"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See Appendix </w:t>
            </w:r>
            <w:r w:rsidR="008B6AA1">
              <w:rPr>
                <w:rFonts w:ascii="Calibri" w:hAnsi="Calibri" w:cs="Calibri"/>
              </w:rPr>
              <w:t>Q</w:t>
            </w:r>
          </w:p>
        </w:tc>
      </w:tr>
      <w:tr w:rsidR="008E6754" w:rsidRPr="00496749" w14:paraId="2DD310C2"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4BDCFCE0" w14:textId="77777777" w:rsidR="008E6754" w:rsidRPr="002C08DA" w:rsidRDefault="008E6754" w:rsidP="00322F41">
            <w:r>
              <w:lastRenderedPageBreak/>
              <w:t>Non-Admitted Patient Service unit Establishment Type (EDW)</w:t>
            </w:r>
          </w:p>
        </w:tc>
        <w:tc>
          <w:tcPr>
            <w:tcW w:w="5245" w:type="dxa"/>
            <w:shd w:val="clear" w:color="auto" w:fill="auto"/>
          </w:tcPr>
          <w:p w14:paraId="77DE0C7E" w14:textId="77777777" w:rsidR="00B97BEE" w:rsidRDefault="00B97BEE" w:rsidP="00B4250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250F">
              <w:rPr>
                <w:rFonts w:ascii="Calibri" w:hAnsi="Calibri" w:cs="Calibri"/>
              </w:rPr>
              <w:t>A clinic based classification under which service units providing similar health services can be grouped into classes.</w:t>
            </w:r>
          </w:p>
          <w:p w14:paraId="1C9225ED" w14:textId="77777777" w:rsidR="00B4250F" w:rsidRPr="00B4250F" w:rsidRDefault="00B4250F" w:rsidP="00B4250F">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DC5BB28" w14:textId="77777777" w:rsidR="008E6754" w:rsidRPr="006B7BD5" w:rsidRDefault="00B97BEE" w:rsidP="00A039DA">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B4250F">
              <w:rPr>
                <w:rFonts w:ascii="Calibri" w:hAnsi="Calibri" w:cs="Calibri"/>
              </w:rPr>
              <w:t>Each class is defined in terms of a specified range of activities, usual providers,</w:t>
            </w:r>
            <w:r w:rsidR="00B4250F">
              <w:rPr>
                <w:rFonts w:ascii="Calibri" w:hAnsi="Calibri" w:cs="Calibri"/>
              </w:rPr>
              <w:t xml:space="preserve"> </w:t>
            </w:r>
            <w:r w:rsidRPr="00B4250F">
              <w:rPr>
                <w:rFonts w:ascii="Calibri" w:hAnsi="Calibri" w:cs="Calibri"/>
              </w:rPr>
              <w:t xml:space="preserve">potential inclusions and exclusions, and other descriptive </w:t>
            </w:r>
            <w:proofErr w:type="spellStart"/>
            <w:r w:rsidRPr="00B4250F">
              <w:rPr>
                <w:rFonts w:ascii="Calibri" w:hAnsi="Calibri" w:cs="Calibri"/>
              </w:rPr>
              <w:t>information.</w:t>
            </w:r>
            <w:r w:rsidR="00A039DA">
              <w:rPr>
                <w:rFonts w:ascii="Arial" w:hAnsi="Arial" w:cs="Arial"/>
                <w:color w:val="000000"/>
                <w:sz w:val="20"/>
                <w:szCs w:val="20"/>
              </w:rPr>
              <w:t>Each</w:t>
            </w:r>
            <w:proofErr w:type="spellEnd"/>
            <w:r w:rsidR="00A039DA">
              <w:rPr>
                <w:rFonts w:ascii="Arial" w:hAnsi="Arial" w:cs="Arial"/>
                <w:color w:val="000000"/>
                <w:sz w:val="20"/>
                <w:szCs w:val="20"/>
              </w:rPr>
              <w:t xml:space="preserve"> Establishment Type maps to a </w:t>
            </w:r>
            <w:r w:rsidR="008E6754">
              <w:rPr>
                <w:rFonts w:ascii="Arial" w:hAnsi="Arial" w:cs="Arial"/>
                <w:color w:val="000000"/>
                <w:sz w:val="20"/>
                <w:szCs w:val="20"/>
              </w:rPr>
              <w:t>National Tier 2 Clinic Type.</w:t>
            </w:r>
          </w:p>
        </w:tc>
        <w:tc>
          <w:tcPr>
            <w:tcW w:w="2268" w:type="dxa"/>
            <w:shd w:val="clear" w:color="auto" w:fill="auto"/>
          </w:tcPr>
          <w:p w14:paraId="15A9C101" w14:textId="77777777" w:rsidR="008E6754" w:rsidRPr="004705C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rPr>
            </w:pPr>
          </w:p>
        </w:tc>
        <w:tc>
          <w:tcPr>
            <w:tcW w:w="3827" w:type="dxa"/>
          </w:tcPr>
          <w:p w14:paraId="2C5E042E" w14:textId="77777777" w:rsidR="008E6754" w:rsidRPr="00496749" w:rsidRDefault="00047DAF"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See Appendix </w:t>
            </w:r>
            <w:r w:rsidR="008B6AA1">
              <w:rPr>
                <w:rFonts w:ascii="Calibri" w:hAnsi="Calibri" w:cs="Calibri"/>
              </w:rPr>
              <w:t>R</w:t>
            </w:r>
          </w:p>
        </w:tc>
      </w:tr>
      <w:tr w:rsidR="008E6754" w:rsidRPr="00496749" w14:paraId="6B0B81EE"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1536B739" w14:textId="77777777" w:rsidR="008E6754" w:rsidRDefault="008E6754" w:rsidP="00322F41">
            <w:r>
              <w:t>Prefe</w:t>
            </w:r>
            <w:r w:rsidR="00A039DA">
              <w:t>r</w:t>
            </w:r>
            <w:r>
              <w:t>red Language (EDW)</w:t>
            </w:r>
          </w:p>
        </w:tc>
        <w:tc>
          <w:tcPr>
            <w:tcW w:w="5245" w:type="dxa"/>
            <w:shd w:val="clear" w:color="auto" w:fill="auto"/>
          </w:tcPr>
          <w:p w14:paraId="6F1FC9E4"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007BB">
              <w:rPr>
                <w:rFonts w:ascii="Calibri" w:hAnsi="Calibri" w:cs="Calibri"/>
              </w:rPr>
              <w:t>The language (including sign language) most preferred by the person for communication. This may be a language other than English even where the person can speak fluent English.</w:t>
            </w:r>
          </w:p>
          <w:p w14:paraId="319114E8"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5DBE379"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007BB">
              <w:rPr>
                <w:rFonts w:ascii="Calibri" w:hAnsi="Calibri" w:cs="Calibri"/>
              </w:rPr>
              <w:t xml:space="preserve">These codes provided are those taken from the Australian bureau of </w:t>
            </w:r>
            <w:proofErr w:type="spellStart"/>
            <w:r w:rsidRPr="005007BB">
              <w:rPr>
                <w:rFonts w:ascii="Calibri" w:hAnsi="Calibri" w:cs="Calibri"/>
              </w:rPr>
              <w:t>Statisitics</w:t>
            </w:r>
            <w:proofErr w:type="spellEnd"/>
            <w:r w:rsidRPr="005007BB">
              <w:rPr>
                <w:rFonts w:ascii="Calibri" w:hAnsi="Calibri" w:cs="Calibri"/>
              </w:rPr>
              <w:t>, Australian Standard Classification of Languages (ASCL), 2005, Cat No 1267.0 (updated to the 2016 version). Some supplementary codes in the ABS classification are deliberately not included in this domain.</w:t>
            </w:r>
          </w:p>
        </w:tc>
        <w:tc>
          <w:tcPr>
            <w:tcW w:w="2268" w:type="dxa"/>
            <w:shd w:val="clear" w:color="auto" w:fill="auto"/>
          </w:tcPr>
          <w:p w14:paraId="7FB24E9A"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827" w:type="dxa"/>
          </w:tcPr>
          <w:p w14:paraId="767E6C3E" w14:textId="77777777" w:rsidR="008E6754" w:rsidRPr="005007BB"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See Appendix </w:t>
            </w:r>
            <w:r w:rsidR="00F079F9">
              <w:rPr>
                <w:rFonts w:ascii="Calibri" w:hAnsi="Calibri" w:cs="Calibri"/>
              </w:rPr>
              <w:t>S</w:t>
            </w:r>
          </w:p>
        </w:tc>
      </w:tr>
      <w:tr w:rsidR="008E6754" w:rsidRPr="00496749" w14:paraId="2AC67481"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33846798" w14:textId="77777777" w:rsidR="008E6754" w:rsidRDefault="008E6754" w:rsidP="00322F41">
            <w:r>
              <w:t>Primary Activity Type Code (EDW)</w:t>
            </w:r>
          </w:p>
        </w:tc>
        <w:tc>
          <w:tcPr>
            <w:tcW w:w="5245" w:type="dxa"/>
            <w:shd w:val="clear" w:color="auto" w:fill="auto"/>
          </w:tcPr>
          <w:p w14:paraId="79870DDA"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007BB">
              <w:rPr>
                <w:rFonts w:ascii="Calibri" w:hAnsi="Calibri" w:cs="Calibri"/>
              </w:rPr>
              <w:t>An indicator of the type of activity primarily undertaken during a non-admitted patient service or non-admitted patient support service</w:t>
            </w:r>
            <w:r>
              <w:rPr>
                <w:rFonts w:ascii="Calibri" w:hAnsi="Calibri" w:cs="Calibri"/>
              </w:rPr>
              <w:t>.</w:t>
            </w:r>
          </w:p>
        </w:tc>
        <w:tc>
          <w:tcPr>
            <w:tcW w:w="2268" w:type="dxa"/>
            <w:shd w:val="clear" w:color="auto" w:fill="auto"/>
          </w:tcPr>
          <w:p w14:paraId="4D2B6A04"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827" w:type="dxa"/>
          </w:tcPr>
          <w:p w14:paraId="158F052E" w14:textId="77777777" w:rsidR="008E6754" w:rsidRPr="00496749" w:rsidRDefault="00047DAF"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See Appendix </w:t>
            </w:r>
            <w:r w:rsidR="00F079F9">
              <w:rPr>
                <w:rFonts w:ascii="Calibri" w:hAnsi="Calibri" w:cs="Calibri"/>
              </w:rPr>
              <w:t>T</w:t>
            </w:r>
          </w:p>
        </w:tc>
      </w:tr>
      <w:tr w:rsidR="008E6754" w:rsidRPr="00496749" w14:paraId="0F3C0D51"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1A703495" w14:textId="77777777" w:rsidR="008E6754" w:rsidRPr="002C08DA" w:rsidRDefault="008E6754" w:rsidP="00CA0956">
            <w:r w:rsidRPr="002C08DA">
              <w:t>Primary Setting Type Code (EDW)</w:t>
            </w:r>
          </w:p>
        </w:tc>
        <w:tc>
          <w:tcPr>
            <w:tcW w:w="5245" w:type="dxa"/>
            <w:shd w:val="clear" w:color="auto" w:fill="auto"/>
          </w:tcPr>
          <w:p w14:paraId="5D9E090D" w14:textId="77777777" w:rsidR="008E6754" w:rsidRPr="004705CB" w:rsidRDefault="008E6754" w:rsidP="00E6112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7BD5">
              <w:rPr>
                <w:rFonts w:ascii="Calibri" w:hAnsi="Calibri" w:cs="Arial"/>
              </w:rPr>
              <w:t>An indicator of the type of setting that the client / patient was</w:t>
            </w:r>
            <w:r w:rsidR="00E61120">
              <w:rPr>
                <w:rFonts w:ascii="Calibri" w:hAnsi="Calibri" w:cs="Arial"/>
              </w:rPr>
              <w:t xml:space="preserve"> </w:t>
            </w:r>
            <w:r w:rsidRPr="006B7BD5">
              <w:rPr>
                <w:rFonts w:ascii="Calibri" w:hAnsi="Calibri" w:cs="Arial"/>
              </w:rPr>
              <w:t>located when the health service was provided</w:t>
            </w:r>
          </w:p>
        </w:tc>
        <w:tc>
          <w:tcPr>
            <w:tcW w:w="2268" w:type="dxa"/>
            <w:shd w:val="clear" w:color="auto" w:fill="auto"/>
          </w:tcPr>
          <w:p w14:paraId="12CE1829"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p>
        </w:tc>
        <w:tc>
          <w:tcPr>
            <w:tcW w:w="3827" w:type="dxa"/>
          </w:tcPr>
          <w:p w14:paraId="0781879C" w14:textId="77777777" w:rsidR="008E6754" w:rsidRPr="00496749"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See Appendix </w:t>
            </w:r>
            <w:r w:rsidR="00F079F9">
              <w:rPr>
                <w:rFonts w:ascii="Calibri" w:hAnsi="Calibri" w:cs="Calibri"/>
              </w:rPr>
              <w:t>U</w:t>
            </w:r>
          </w:p>
        </w:tc>
      </w:tr>
      <w:tr w:rsidR="008E6754" w:rsidRPr="00496749" w14:paraId="21A67F87"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DD7A542" w14:textId="77777777" w:rsidR="008E6754" w:rsidRPr="002C08DA" w:rsidRDefault="008E6754" w:rsidP="00CA0956">
            <w:r w:rsidRPr="002C08DA">
              <w:lastRenderedPageBreak/>
              <w:t xml:space="preserve">Request Received Date (EDW) </w:t>
            </w:r>
          </w:p>
        </w:tc>
        <w:tc>
          <w:tcPr>
            <w:tcW w:w="5245" w:type="dxa"/>
            <w:shd w:val="clear" w:color="auto" w:fill="auto"/>
          </w:tcPr>
          <w:p w14:paraId="24EB9DBC" w14:textId="77777777" w:rsidR="008E6754" w:rsidRPr="004705C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6B7BD5">
              <w:rPr>
                <w:rFonts w:ascii="Calibri" w:hAnsi="Calibri" w:cs="Arial"/>
              </w:rPr>
              <w:t>The date that the health organisation or service unit to whom the</w:t>
            </w:r>
            <w:r>
              <w:rPr>
                <w:rFonts w:ascii="Calibri" w:hAnsi="Calibri" w:cs="Arial"/>
              </w:rPr>
              <w:t xml:space="preserve"> </w:t>
            </w:r>
            <w:r w:rsidRPr="006B7BD5">
              <w:rPr>
                <w:rFonts w:ascii="Calibri" w:hAnsi="Calibri" w:cs="Arial"/>
              </w:rPr>
              <w:t>patient was referred became aware a service was required, either</w:t>
            </w:r>
            <w:r>
              <w:rPr>
                <w:rFonts w:ascii="Calibri" w:hAnsi="Calibri" w:cs="Arial"/>
              </w:rPr>
              <w:t xml:space="preserve"> </w:t>
            </w:r>
            <w:r w:rsidRPr="006B7BD5">
              <w:rPr>
                <w:rFonts w:ascii="Calibri" w:hAnsi="Calibri" w:cs="Arial"/>
              </w:rPr>
              <w:t>as a written formal referral (e.g. a Request for Admission form or</w:t>
            </w:r>
            <w:r>
              <w:rPr>
                <w:rFonts w:ascii="Calibri" w:hAnsi="Calibri" w:cs="Arial"/>
              </w:rPr>
              <w:t xml:space="preserve"> </w:t>
            </w:r>
            <w:r w:rsidRPr="006B7BD5">
              <w:rPr>
                <w:rFonts w:ascii="Calibri" w:hAnsi="Calibri" w:cs="Arial"/>
              </w:rPr>
              <w:t>medical professional referral letter) or as a result of a verbal</w:t>
            </w:r>
            <w:r>
              <w:rPr>
                <w:rFonts w:ascii="Calibri" w:hAnsi="Calibri" w:cs="Arial"/>
              </w:rPr>
              <w:t xml:space="preserve"> </w:t>
            </w:r>
            <w:r w:rsidRPr="006B7BD5">
              <w:rPr>
                <w:rFonts w:ascii="Calibri" w:hAnsi="Calibri" w:cs="Arial"/>
              </w:rPr>
              <w:t>request.</w:t>
            </w:r>
          </w:p>
        </w:tc>
        <w:tc>
          <w:tcPr>
            <w:tcW w:w="2268" w:type="dxa"/>
            <w:shd w:val="clear" w:color="auto" w:fill="auto"/>
          </w:tcPr>
          <w:p w14:paraId="7E0EF715" w14:textId="77777777" w:rsidR="008E6754" w:rsidRPr="004705C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rPr>
            </w:pPr>
            <w:r w:rsidRPr="00E27162">
              <w:rPr>
                <w:rFonts w:ascii="Calibri" w:hAnsi="Calibri" w:cs="Arial"/>
              </w:rPr>
              <w:t>YYYYMMDD</w:t>
            </w:r>
          </w:p>
        </w:tc>
        <w:tc>
          <w:tcPr>
            <w:tcW w:w="3827" w:type="dxa"/>
          </w:tcPr>
          <w:p w14:paraId="1F29CCE7" w14:textId="77777777" w:rsidR="008E6754" w:rsidRPr="00496749"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E6754" w:rsidRPr="00496749" w14:paraId="2D1C669C"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B772E12" w14:textId="77777777" w:rsidR="008E6754" w:rsidRPr="002C08DA" w:rsidRDefault="008E6754" w:rsidP="00CA0956">
            <w:r w:rsidRPr="002C08DA">
              <w:t xml:space="preserve">Request Source Type Code (EDW) </w:t>
            </w:r>
          </w:p>
        </w:tc>
        <w:tc>
          <w:tcPr>
            <w:tcW w:w="5245" w:type="dxa"/>
            <w:shd w:val="clear" w:color="auto" w:fill="auto"/>
          </w:tcPr>
          <w:p w14:paraId="762F1BB6"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A classification describing the type of organisation or individual that requested a service from NSW Health.</w:t>
            </w:r>
          </w:p>
        </w:tc>
        <w:tc>
          <w:tcPr>
            <w:tcW w:w="2268" w:type="dxa"/>
            <w:shd w:val="clear" w:color="auto" w:fill="auto"/>
          </w:tcPr>
          <w:p w14:paraId="084717A5" w14:textId="77777777" w:rsidR="008E6754" w:rsidRPr="004705C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sidRPr="00874FA5">
              <w:rPr>
                <w:rFonts w:ascii="Calibri" w:hAnsi="Calibri" w:cs="Arial"/>
                <w:color w:val="000000"/>
              </w:rPr>
              <w:t>Codes provided in the formats file</w:t>
            </w:r>
          </w:p>
        </w:tc>
        <w:tc>
          <w:tcPr>
            <w:tcW w:w="3827" w:type="dxa"/>
          </w:tcPr>
          <w:p w14:paraId="2A62D89A" w14:textId="77777777" w:rsidR="008E6754" w:rsidRPr="00496749"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See Appendix </w:t>
            </w:r>
            <w:r w:rsidR="00F079F9">
              <w:rPr>
                <w:rFonts w:ascii="Calibri" w:hAnsi="Calibri" w:cs="Calibri"/>
              </w:rPr>
              <w:t>V</w:t>
            </w:r>
          </w:p>
        </w:tc>
      </w:tr>
      <w:tr w:rsidR="008E6754" w:rsidRPr="00496749" w14:paraId="4F68AC0F"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35994045" w14:textId="77777777" w:rsidR="008E6754" w:rsidRPr="00CA38F0" w:rsidRDefault="008E6754" w:rsidP="003469A6">
            <w:r w:rsidRPr="00CA38F0">
              <w:t>Responsible Organisation Service Provider Full Name (EDW)</w:t>
            </w:r>
          </w:p>
        </w:tc>
        <w:tc>
          <w:tcPr>
            <w:tcW w:w="5245" w:type="dxa"/>
            <w:shd w:val="clear" w:color="auto" w:fill="auto"/>
          </w:tcPr>
          <w:p w14:paraId="5343697D"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007BB">
              <w:rPr>
                <w:rFonts w:ascii="Calibri" w:hAnsi="Calibri" w:cs="Calibri"/>
              </w:rPr>
              <w:t>The 'Establishment Identifier' used by the service unit which delivered a service event that was recorded and reported</w:t>
            </w:r>
            <w:r>
              <w:rPr>
                <w:rFonts w:ascii="Calibri" w:hAnsi="Calibri" w:cs="Calibri"/>
              </w:rPr>
              <w:t xml:space="preserve">, </w:t>
            </w:r>
            <w:proofErr w:type="spellStart"/>
            <w:r>
              <w:rPr>
                <w:rFonts w:ascii="Calibri" w:hAnsi="Calibri" w:cs="Calibri"/>
              </w:rPr>
              <w:t>e.g</w:t>
            </w:r>
            <w:proofErr w:type="spellEnd"/>
            <w:r>
              <w:rPr>
                <w:rFonts w:ascii="Calibri" w:hAnsi="Calibri" w:cs="Calibri"/>
              </w:rPr>
              <w:t xml:space="preserve"> the </w:t>
            </w:r>
            <w:proofErr w:type="spellStart"/>
            <w:r>
              <w:rPr>
                <w:rFonts w:ascii="Calibri" w:hAnsi="Calibri" w:cs="Calibri"/>
              </w:rPr>
              <w:t>the</w:t>
            </w:r>
            <w:proofErr w:type="spellEnd"/>
            <w:r>
              <w:rPr>
                <w:rFonts w:ascii="Calibri" w:hAnsi="Calibri" w:cs="Calibri"/>
              </w:rPr>
              <w:t xml:space="preserve"> facility / hospital</w:t>
            </w:r>
          </w:p>
        </w:tc>
        <w:tc>
          <w:tcPr>
            <w:tcW w:w="2268" w:type="dxa"/>
            <w:shd w:val="clear" w:color="auto" w:fill="auto"/>
          </w:tcPr>
          <w:p w14:paraId="5C32B2C1"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827" w:type="dxa"/>
          </w:tcPr>
          <w:p w14:paraId="200087DB"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6749">
              <w:rPr>
                <w:rFonts w:ascii="Calibri" w:hAnsi="Calibri" w:cs="Calibri"/>
              </w:rPr>
              <w:t>Masked for private facilities</w:t>
            </w:r>
          </w:p>
        </w:tc>
      </w:tr>
      <w:tr w:rsidR="008E6754" w:rsidRPr="00496749" w14:paraId="0DBA123D"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7D9D8A92" w14:textId="77777777" w:rsidR="008E6754" w:rsidRPr="00CA38F0" w:rsidRDefault="008E6754" w:rsidP="003469A6">
            <w:r w:rsidRPr="00CA38F0">
              <w:t>Responsible Service Unit Organisation Service Provider HIE Facility Identifier (EDW)</w:t>
            </w:r>
          </w:p>
        </w:tc>
        <w:tc>
          <w:tcPr>
            <w:tcW w:w="5245" w:type="dxa"/>
            <w:shd w:val="clear" w:color="auto" w:fill="auto"/>
          </w:tcPr>
          <w:p w14:paraId="1FD9FC0D"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007BB">
              <w:rPr>
                <w:rFonts w:ascii="Calibri" w:hAnsi="Calibri" w:cs="Calibri"/>
              </w:rPr>
              <w:t>The unique code identifying the service unit which was responsible for delivering (or purchasing) a service event, or to which a request for a service has been made</w:t>
            </w:r>
            <w:r>
              <w:rPr>
                <w:rFonts w:ascii="Calibri" w:hAnsi="Calibri" w:cs="Calibri"/>
              </w:rPr>
              <w:t xml:space="preserve">, </w:t>
            </w:r>
            <w:proofErr w:type="spellStart"/>
            <w:r>
              <w:rPr>
                <w:rFonts w:ascii="Calibri" w:hAnsi="Calibri" w:cs="Calibri"/>
              </w:rPr>
              <w:t>e.g</w:t>
            </w:r>
            <w:proofErr w:type="spellEnd"/>
            <w:r>
              <w:rPr>
                <w:rFonts w:ascii="Calibri" w:hAnsi="Calibri" w:cs="Calibri"/>
              </w:rPr>
              <w:t xml:space="preserve"> the </w:t>
            </w:r>
            <w:proofErr w:type="spellStart"/>
            <w:r>
              <w:rPr>
                <w:rFonts w:ascii="Calibri" w:hAnsi="Calibri" w:cs="Calibri"/>
              </w:rPr>
              <w:t>the</w:t>
            </w:r>
            <w:proofErr w:type="spellEnd"/>
            <w:r>
              <w:rPr>
                <w:rFonts w:ascii="Calibri" w:hAnsi="Calibri" w:cs="Calibri"/>
              </w:rPr>
              <w:t xml:space="preserve"> facility / hospital</w:t>
            </w:r>
            <w:r w:rsidRPr="005007BB">
              <w:rPr>
                <w:rFonts w:ascii="Calibri" w:hAnsi="Calibri" w:cs="Calibri"/>
              </w:rPr>
              <w:t>.</w:t>
            </w:r>
          </w:p>
        </w:tc>
        <w:tc>
          <w:tcPr>
            <w:tcW w:w="2268" w:type="dxa"/>
            <w:shd w:val="clear" w:color="auto" w:fill="auto"/>
          </w:tcPr>
          <w:p w14:paraId="08A73FB0"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827" w:type="dxa"/>
          </w:tcPr>
          <w:p w14:paraId="134308EC"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6749">
              <w:rPr>
                <w:rFonts w:ascii="Calibri" w:hAnsi="Calibri" w:cs="Calibri"/>
              </w:rPr>
              <w:t>Masked for private facilities</w:t>
            </w:r>
          </w:p>
        </w:tc>
      </w:tr>
      <w:tr w:rsidR="008E6754" w:rsidRPr="00496749" w14:paraId="33AA9EC0"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365A7318" w14:textId="77777777" w:rsidR="008E6754" w:rsidRPr="00CA38F0" w:rsidRDefault="008E6754" w:rsidP="003469A6">
            <w:r w:rsidRPr="00CA38F0">
              <w:t>Responsible Service Unit Organisation Service Provider Identifier (EDW)</w:t>
            </w:r>
          </w:p>
        </w:tc>
        <w:tc>
          <w:tcPr>
            <w:tcW w:w="5245" w:type="dxa"/>
            <w:shd w:val="clear" w:color="auto" w:fill="auto"/>
          </w:tcPr>
          <w:p w14:paraId="46FE3DC1"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007BB">
              <w:rPr>
                <w:rFonts w:ascii="Calibri" w:hAnsi="Calibri" w:cs="Calibri"/>
              </w:rPr>
              <w:t>The unique code identifying the service unit which was responsible for delivering (or purchasing) a service event, or to which a request for a service has been made</w:t>
            </w:r>
            <w:r>
              <w:rPr>
                <w:rFonts w:ascii="Calibri" w:hAnsi="Calibri" w:cs="Calibri"/>
              </w:rPr>
              <w:t xml:space="preserve">, </w:t>
            </w:r>
            <w:proofErr w:type="spellStart"/>
            <w:r>
              <w:rPr>
                <w:rFonts w:ascii="Calibri" w:hAnsi="Calibri" w:cs="Calibri"/>
              </w:rPr>
              <w:t>e.g</w:t>
            </w:r>
            <w:proofErr w:type="spellEnd"/>
            <w:r>
              <w:rPr>
                <w:rFonts w:ascii="Calibri" w:hAnsi="Calibri" w:cs="Calibri"/>
              </w:rPr>
              <w:t xml:space="preserve"> the </w:t>
            </w:r>
            <w:proofErr w:type="spellStart"/>
            <w:r>
              <w:rPr>
                <w:rFonts w:ascii="Calibri" w:hAnsi="Calibri" w:cs="Calibri"/>
              </w:rPr>
              <w:t>the</w:t>
            </w:r>
            <w:proofErr w:type="spellEnd"/>
            <w:r>
              <w:rPr>
                <w:rFonts w:ascii="Calibri" w:hAnsi="Calibri" w:cs="Calibri"/>
              </w:rPr>
              <w:t xml:space="preserve"> facility / hospital</w:t>
            </w:r>
          </w:p>
        </w:tc>
        <w:tc>
          <w:tcPr>
            <w:tcW w:w="2268" w:type="dxa"/>
            <w:shd w:val="clear" w:color="auto" w:fill="auto"/>
          </w:tcPr>
          <w:p w14:paraId="2293ED62"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827" w:type="dxa"/>
          </w:tcPr>
          <w:p w14:paraId="20067B08" w14:textId="77777777" w:rsidR="008E6754" w:rsidRPr="005007B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6749">
              <w:rPr>
                <w:rFonts w:ascii="Calibri" w:hAnsi="Calibri" w:cs="Calibri"/>
              </w:rPr>
              <w:t>Masked for private facilities</w:t>
            </w:r>
          </w:p>
        </w:tc>
      </w:tr>
      <w:tr w:rsidR="008E6754" w:rsidRPr="00496749" w14:paraId="6DED4E0B"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3398F21C" w14:textId="77777777" w:rsidR="008E6754" w:rsidRDefault="008E6754" w:rsidP="00322F41">
            <w:r w:rsidRPr="002C08DA">
              <w:lastRenderedPageBreak/>
              <w:t xml:space="preserve">Service Contact Mode Code </w:t>
            </w:r>
            <w:r>
              <w:t>– Non-admitted Patient (EDW)</w:t>
            </w:r>
          </w:p>
        </w:tc>
        <w:tc>
          <w:tcPr>
            <w:tcW w:w="5245" w:type="dxa"/>
            <w:shd w:val="clear" w:color="auto" w:fill="auto"/>
          </w:tcPr>
          <w:p w14:paraId="0D8CE528" w14:textId="77777777" w:rsidR="008E6754" w:rsidRPr="00874FA5"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874FA5">
              <w:rPr>
                <w:rFonts w:ascii="Calibri" w:hAnsi="Calibri" w:cs="Arial"/>
              </w:rPr>
              <w:t>The method of communication used between the Individual Service</w:t>
            </w:r>
            <w:r>
              <w:rPr>
                <w:rFonts w:ascii="Calibri" w:hAnsi="Calibri" w:cs="Arial"/>
              </w:rPr>
              <w:t xml:space="preserve"> </w:t>
            </w:r>
            <w:r w:rsidRPr="00874FA5">
              <w:rPr>
                <w:rFonts w:ascii="Calibri" w:hAnsi="Calibri" w:cs="Arial"/>
              </w:rPr>
              <w:t>Provider(s) and the client or his/her proxy, or if no client</w:t>
            </w:r>
            <w:r>
              <w:rPr>
                <w:rFonts w:ascii="Calibri" w:hAnsi="Calibri" w:cs="Arial"/>
              </w:rPr>
              <w:t xml:space="preserve"> </w:t>
            </w:r>
            <w:r w:rsidRPr="00874FA5">
              <w:rPr>
                <w:rFonts w:ascii="Calibri" w:hAnsi="Calibri" w:cs="Arial"/>
              </w:rPr>
              <w:t>participation (such as a case conference), the main communication</w:t>
            </w:r>
          </w:p>
          <w:p w14:paraId="713FDFDB" w14:textId="77777777" w:rsidR="008E6754" w:rsidRPr="001704A3" w:rsidRDefault="008E6754" w:rsidP="00322F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874FA5">
              <w:rPr>
                <w:rFonts w:ascii="Calibri" w:hAnsi="Calibri" w:cs="Arial"/>
              </w:rPr>
              <w:t xml:space="preserve">method used between the Individual Service </w:t>
            </w:r>
            <w:r>
              <w:rPr>
                <w:rFonts w:ascii="Calibri" w:hAnsi="Calibri" w:cs="Arial"/>
              </w:rPr>
              <w:t>P</w:t>
            </w:r>
            <w:r w:rsidRPr="00874FA5">
              <w:rPr>
                <w:rFonts w:ascii="Calibri" w:hAnsi="Calibri" w:cs="Arial"/>
              </w:rPr>
              <w:t>rovider(s).</w:t>
            </w:r>
          </w:p>
        </w:tc>
        <w:tc>
          <w:tcPr>
            <w:tcW w:w="2268" w:type="dxa"/>
            <w:shd w:val="clear" w:color="auto" w:fill="auto"/>
          </w:tcPr>
          <w:p w14:paraId="3A7BDAD5"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1 – In person</w:t>
            </w:r>
          </w:p>
          <w:p w14:paraId="3C86E409"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 xml:space="preserve">2 – Telephone – </w:t>
            </w:r>
            <w:proofErr w:type="spellStart"/>
            <w:r>
              <w:rPr>
                <w:rFonts w:ascii="Calibri" w:hAnsi="Calibri" w:cs="Arial"/>
                <w:color w:val="000000"/>
              </w:rPr>
              <w:t>Clinican</w:t>
            </w:r>
            <w:proofErr w:type="spellEnd"/>
            <w:r>
              <w:rPr>
                <w:rFonts w:ascii="Calibri" w:hAnsi="Calibri" w:cs="Arial"/>
                <w:color w:val="000000"/>
              </w:rPr>
              <w:t xml:space="preserve"> end</w:t>
            </w:r>
          </w:p>
          <w:p w14:paraId="1DE71220"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3 – Videoconference, no further defined</w:t>
            </w:r>
          </w:p>
          <w:p w14:paraId="44AF1BD5"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4 – Email</w:t>
            </w:r>
          </w:p>
          <w:p w14:paraId="0CCB9BCA"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5 – No client contact – case conference</w:t>
            </w:r>
          </w:p>
          <w:p w14:paraId="7A244CF3"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6 – No client contact – case planning &amp; review</w:t>
            </w:r>
          </w:p>
          <w:p w14:paraId="5DA90BCC"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7 – Postal / courier service</w:t>
            </w:r>
          </w:p>
          <w:p w14:paraId="39368553"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8 – Other technology – not elsewhere classified</w:t>
            </w:r>
          </w:p>
          <w:p w14:paraId="7BA5906C"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9 – No client contact – Other</w:t>
            </w:r>
          </w:p>
          <w:p w14:paraId="19A2862F"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 xml:space="preserve">C – Videoconference – </w:t>
            </w:r>
            <w:proofErr w:type="spellStart"/>
            <w:r>
              <w:rPr>
                <w:rFonts w:ascii="Calibri" w:hAnsi="Calibri" w:cs="Arial"/>
                <w:color w:val="000000"/>
              </w:rPr>
              <w:t>Clinican</w:t>
            </w:r>
            <w:proofErr w:type="spellEnd"/>
            <w:r>
              <w:rPr>
                <w:rFonts w:ascii="Calibri" w:hAnsi="Calibri" w:cs="Arial"/>
                <w:color w:val="000000"/>
              </w:rPr>
              <w:t xml:space="preserve"> end</w:t>
            </w:r>
          </w:p>
          <w:p w14:paraId="0B0271CC"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P – Videoconference – Client / Patient end</w:t>
            </w:r>
          </w:p>
          <w:p w14:paraId="77D465D7"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 xml:space="preserve">T – Telephone – Client </w:t>
            </w:r>
          </w:p>
          <w:p w14:paraId="2A53D4EE"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U – unknown</w:t>
            </w:r>
          </w:p>
          <w:p w14:paraId="6D1C709F"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r>
              <w:rPr>
                <w:rFonts w:ascii="Calibri" w:hAnsi="Calibri" w:cs="Arial"/>
                <w:color w:val="000000"/>
              </w:rPr>
              <w:t>X – Non-Clinical Excluded Activity</w:t>
            </w:r>
          </w:p>
          <w:p w14:paraId="77196C82"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p>
          <w:p w14:paraId="2564B508"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rPr>
            </w:pPr>
          </w:p>
          <w:p w14:paraId="2381CCD9"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827" w:type="dxa"/>
          </w:tcPr>
          <w:p w14:paraId="459C6B9C" w14:textId="77777777" w:rsidR="008E6754" w:rsidRPr="00496749"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6749">
              <w:rPr>
                <w:rFonts w:ascii="Calibri" w:hAnsi="Calibri" w:cs="Calibri"/>
              </w:rPr>
              <w:t xml:space="preserve">Note: Category 3 is expired from 30 June 2015, and is replaced by category "C - Telehealth / video conference: Consultant End" and "P - Telehealth / video conference: Patient End". </w:t>
            </w:r>
          </w:p>
          <w:p w14:paraId="1CD92427" w14:textId="77777777" w:rsidR="008E6754" w:rsidRPr="00496749"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14CB5E6" w14:textId="77777777" w:rsidR="008E6754" w:rsidRPr="00496749"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6749">
              <w:rPr>
                <w:rFonts w:ascii="Calibri" w:hAnsi="Calibri" w:cs="Calibri"/>
              </w:rPr>
              <w:t>Category ‘U’ and ‘X’ were expired effective 30 June 2013.</w:t>
            </w:r>
          </w:p>
          <w:p w14:paraId="06EB0835" w14:textId="77777777" w:rsidR="008E6754" w:rsidRPr="00496749"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6749">
              <w:rPr>
                <w:rFonts w:ascii="Calibri" w:hAnsi="Calibri" w:cs="Calibri"/>
              </w:rPr>
              <w:t xml:space="preserve"> </w:t>
            </w:r>
          </w:p>
          <w:p w14:paraId="01A68FF5" w14:textId="77777777" w:rsidR="008E6754" w:rsidRPr="00496749"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See Appendix </w:t>
            </w:r>
            <w:r w:rsidR="00F079F9">
              <w:rPr>
                <w:rFonts w:ascii="Calibri" w:hAnsi="Calibri" w:cs="Calibri"/>
              </w:rPr>
              <w:t>W</w:t>
            </w:r>
          </w:p>
        </w:tc>
      </w:tr>
      <w:tr w:rsidR="008E6754" w:rsidRPr="00496749" w14:paraId="70FA3C5F"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43D7E3FF" w14:textId="77777777" w:rsidR="008E6754" w:rsidRDefault="008E6754" w:rsidP="00322F41">
            <w:r>
              <w:lastRenderedPageBreak/>
              <w:t>Service Encounter Record Identifier (EDW)</w:t>
            </w:r>
          </w:p>
        </w:tc>
        <w:tc>
          <w:tcPr>
            <w:tcW w:w="5245" w:type="dxa"/>
            <w:shd w:val="clear" w:color="auto" w:fill="auto"/>
          </w:tcPr>
          <w:p w14:paraId="4C529783" w14:textId="77777777" w:rsidR="008E6754" w:rsidRPr="001704A3"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4A3">
              <w:rPr>
                <w:rFonts w:ascii="Calibri" w:hAnsi="Calibri" w:cs="Calibri"/>
              </w:rPr>
              <w:t>A source system assigned unique identifier for a record representing a client / patient's continuous contact with a health organisation. One encounter may have one or many service events, each of a different or same service event type.</w:t>
            </w:r>
          </w:p>
        </w:tc>
        <w:tc>
          <w:tcPr>
            <w:tcW w:w="2268" w:type="dxa"/>
            <w:shd w:val="clear" w:color="auto" w:fill="auto"/>
          </w:tcPr>
          <w:p w14:paraId="178B4952" w14:textId="77777777" w:rsidR="008E6754" w:rsidRPr="001704A3"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827" w:type="dxa"/>
          </w:tcPr>
          <w:p w14:paraId="55888244" w14:textId="77777777" w:rsidR="008E6754" w:rsidRPr="00496749"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E6754" w:rsidRPr="00496749" w14:paraId="509F5117"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4AEB0844" w14:textId="77777777" w:rsidR="008E6754" w:rsidRPr="002C08DA" w:rsidRDefault="008E6754" w:rsidP="00CA0956">
            <w:r w:rsidRPr="002C08DA">
              <w:t>Service Event End Datetime (EDW)</w:t>
            </w:r>
          </w:p>
        </w:tc>
        <w:tc>
          <w:tcPr>
            <w:tcW w:w="5245" w:type="dxa"/>
            <w:shd w:val="clear" w:color="auto" w:fill="auto"/>
          </w:tcPr>
          <w:p w14:paraId="35A8E701" w14:textId="77777777" w:rsidR="008E6754" w:rsidRPr="004705CB" w:rsidRDefault="008E6754" w:rsidP="00A039DA">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61120">
              <w:rPr>
                <w:rFonts w:ascii="Calibri" w:hAnsi="Calibri" w:cs="Arial"/>
              </w:rPr>
              <w:t>For Community Health and Outpatient Care Services, the service event end date and time is the date / time the clinician ceases the provision of a service to a patient / client either directly or indirectly, with or without the patient present. The date will be the same date as the service event start date.</w:t>
            </w:r>
          </w:p>
        </w:tc>
        <w:tc>
          <w:tcPr>
            <w:tcW w:w="2268" w:type="dxa"/>
            <w:shd w:val="clear" w:color="auto" w:fill="auto"/>
          </w:tcPr>
          <w:p w14:paraId="2BB2E416" w14:textId="77777777" w:rsidR="008E6754" w:rsidRPr="008C2938" w:rsidRDefault="008E6754" w:rsidP="00322F41">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66"/>
                <w:sz w:val="18"/>
                <w:szCs w:val="18"/>
              </w:rPr>
            </w:pPr>
            <w:r w:rsidRPr="008C2938">
              <w:rPr>
                <w:rFonts w:ascii="Calibri" w:hAnsi="Calibri" w:cs="Arial"/>
              </w:rPr>
              <w:t>YYYY-MM-DD HH:MM:SS</w:t>
            </w:r>
            <w:r w:rsidRPr="008C2938">
              <w:rPr>
                <w:rFonts w:ascii="Trebuchet MS" w:eastAsia="Times New Roman" w:hAnsi="Trebuchet MS" w:cs="Times New Roman"/>
                <w:color w:val="000066"/>
                <w:sz w:val="18"/>
                <w:szCs w:val="18"/>
              </w:rPr>
              <w:t xml:space="preserve"> </w:t>
            </w:r>
          </w:p>
        </w:tc>
        <w:tc>
          <w:tcPr>
            <w:tcW w:w="3827" w:type="dxa"/>
          </w:tcPr>
          <w:p w14:paraId="08E4E7DA" w14:textId="77777777" w:rsidR="008E6754" w:rsidRPr="00496749"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E6754" w:rsidRPr="00496749" w14:paraId="396158FA"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AF6B05B" w14:textId="77777777" w:rsidR="008E6754" w:rsidRPr="002C08DA" w:rsidRDefault="008E6754" w:rsidP="00CA0956">
            <w:r w:rsidRPr="002C08DA">
              <w:t>Service Event Start Datetime (EDW)</w:t>
            </w:r>
          </w:p>
        </w:tc>
        <w:tc>
          <w:tcPr>
            <w:tcW w:w="5245" w:type="dxa"/>
            <w:shd w:val="clear" w:color="auto" w:fill="auto"/>
          </w:tcPr>
          <w:p w14:paraId="34D85419" w14:textId="77777777" w:rsidR="008E6754" w:rsidRPr="004705C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C4035">
              <w:rPr>
                <w:rFonts w:ascii="Calibri" w:hAnsi="Calibri" w:cs="Arial"/>
              </w:rPr>
              <w:t>For Community Health and Outpatient Care Services, the date and</w:t>
            </w:r>
            <w:r>
              <w:rPr>
                <w:rFonts w:ascii="Calibri" w:hAnsi="Calibri" w:cs="Arial"/>
              </w:rPr>
              <w:t xml:space="preserve"> </w:t>
            </w:r>
            <w:r w:rsidRPr="003C4035">
              <w:rPr>
                <w:rFonts w:ascii="Calibri" w:hAnsi="Calibri" w:cs="Arial"/>
              </w:rPr>
              <w:t>time the clinician commences the provision of a service to a patient</w:t>
            </w:r>
            <w:r>
              <w:rPr>
                <w:rFonts w:ascii="Calibri" w:hAnsi="Calibri" w:cs="Arial"/>
              </w:rPr>
              <w:t xml:space="preserve"> </w:t>
            </w:r>
            <w:r w:rsidRPr="003C4035">
              <w:rPr>
                <w:rFonts w:ascii="Calibri" w:hAnsi="Calibri" w:cs="Arial"/>
              </w:rPr>
              <w:t>/ client either directly or indirectly, with or without the patient</w:t>
            </w:r>
            <w:r>
              <w:rPr>
                <w:rFonts w:ascii="Calibri" w:hAnsi="Calibri" w:cs="Arial"/>
              </w:rPr>
              <w:t xml:space="preserve"> </w:t>
            </w:r>
            <w:r w:rsidRPr="003C4035">
              <w:rPr>
                <w:rFonts w:ascii="Calibri" w:hAnsi="Calibri" w:cs="Arial"/>
              </w:rPr>
              <w:t>present.</w:t>
            </w:r>
          </w:p>
        </w:tc>
        <w:tc>
          <w:tcPr>
            <w:tcW w:w="2268" w:type="dxa"/>
            <w:shd w:val="clear" w:color="auto" w:fill="auto"/>
          </w:tcPr>
          <w:p w14:paraId="6A1F1008" w14:textId="77777777" w:rsidR="008E6754" w:rsidRPr="004705C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rPr>
            </w:pPr>
          </w:p>
        </w:tc>
        <w:tc>
          <w:tcPr>
            <w:tcW w:w="3827" w:type="dxa"/>
          </w:tcPr>
          <w:p w14:paraId="44B6F1A6" w14:textId="77777777" w:rsidR="008E6754" w:rsidRPr="00496749"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E6754" w:rsidRPr="00496749" w14:paraId="2FA4AF9F"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669F4955" w14:textId="77777777" w:rsidR="008E6754" w:rsidRDefault="008E6754" w:rsidP="00CA0956">
            <w:r w:rsidRPr="002C08DA">
              <w:t>Service Off Base Site Indicator (EDW)</w:t>
            </w:r>
          </w:p>
        </w:tc>
        <w:tc>
          <w:tcPr>
            <w:tcW w:w="5245" w:type="dxa"/>
            <w:shd w:val="clear" w:color="auto" w:fill="auto"/>
          </w:tcPr>
          <w:p w14:paraId="07CD2BE8" w14:textId="77777777" w:rsidR="008E6754" w:rsidRPr="003C4035" w:rsidRDefault="008E6754" w:rsidP="00322F41">
            <w:pPr>
              <w:tabs>
                <w:tab w:val="left" w:pos="975"/>
              </w:tabs>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C4035">
              <w:rPr>
                <w:rFonts w:ascii="Calibri" w:hAnsi="Calibri" w:cs="Arial"/>
              </w:rPr>
              <w:t>An indicator of whether a non-admitted patient service was</w:t>
            </w:r>
            <w:r>
              <w:rPr>
                <w:rFonts w:ascii="Calibri" w:hAnsi="Calibri" w:cs="Arial"/>
              </w:rPr>
              <w:t xml:space="preserve"> </w:t>
            </w:r>
            <w:r w:rsidRPr="003C4035">
              <w:rPr>
                <w:rFonts w:ascii="Calibri" w:hAnsi="Calibri" w:cs="Arial"/>
              </w:rPr>
              <w:t>provided on or off the base site of the individual service provider</w:t>
            </w:r>
          </w:p>
        </w:tc>
        <w:tc>
          <w:tcPr>
            <w:tcW w:w="2268" w:type="dxa"/>
            <w:shd w:val="clear" w:color="auto" w:fill="auto"/>
          </w:tcPr>
          <w:p w14:paraId="651A1794" w14:textId="77777777" w:rsidR="008E6754"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On the health care campus of the healthcare provider</w:t>
            </w:r>
          </w:p>
          <w:p w14:paraId="350780BA" w14:textId="77777777" w:rsidR="008E6754" w:rsidRPr="005D1466"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 Off the health care campus of the healthcare provider</w:t>
            </w:r>
          </w:p>
        </w:tc>
        <w:tc>
          <w:tcPr>
            <w:tcW w:w="3827" w:type="dxa"/>
          </w:tcPr>
          <w:p w14:paraId="7BE231FD" w14:textId="77777777" w:rsidR="008E6754" w:rsidRPr="00496749"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See Appendix</w:t>
            </w:r>
            <w:r w:rsidR="00F079F9">
              <w:rPr>
                <w:rFonts w:ascii="Calibri" w:hAnsi="Calibri" w:cs="Calibri"/>
              </w:rPr>
              <w:t xml:space="preserve"> X</w:t>
            </w:r>
          </w:p>
        </w:tc>
      </w:tr>
      <w:tr w:rsidR="008E6754" w:rsidRPr="00496749" w14:paraId="00BA5B74"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5BF23237" w14:textId="77777777" w:rsidR="008E6754" w:rsidRDefault="008E6754" w:rsidP="00322F41">
            <w:r>
              <w:t>Service Unit Full Name</w:t>
            </w:r>
          </w:p>
        </w:tc>
        <w:tc>
          <w:tcPr>
            <w:tcW w:w="5245" w:type="dxa"/>
            <w:shd w:val="clear" w:color="auto" w:fill="auto"/>
          </w:tcPr>
          <w:p w14:paraId="757D3E72" w14:textId="77777777" w:rsidR="008E6754" w:rsidRPr="005007BB" w:rsidRDefault="008E6754" w:rsidP="00322F41">
            <w:pPr>
              <w:tabs>
                <w:tab w:val="left" w:pos="975"/>
              </w:tabs>
              <w:cnfStyle w:val="000000000000" w:firstRow="0" w:lastRow="0" w:firstColumn="0" w:lastColumn="0" w:oddVBand="0" w:evenVBand="0" w:oddHBand="0" w:evenHBand="0" w:firstRowFirstColumn="0" w:firstRowLastColumn="0" w:lastRowFirstColumn="0" w:lastRowLastColumn="0"/>
              <w:rPr>
                <w:rFonts w:ascii="Calibri" w:hAnsi="Calibri" w:cs="Arial"/>
              </w:rPr>
            </w:pPr>
            <w:r w:rsidRPr="001704A3">
              <w:rPr>
                <w:rFonts w:ascii="Calibri" w:eastAsia="Times New Roman" w:hAnsi="Calibri" w:cs="Calibri"/>
              </w:rPr>
              <w:t>The ‘Full Standardised Name’ of the Organisational Service Provider, where the OSP belongs to the Service Unit level of the hierarchy.</w:t>
            </w:r>
          </w:p>
        </w:tc>
        <w:tc>
          <w:tcPr>
            <w:tcW w:w="2268" w:type="dxa"/>
            <w:shd w:val="clear" w:color="auto" w:fill="auto"/>
          </w:tcPr>
          <w:p w14:paraId="60D18CC7" w14:textId="77777777" w:rsidR="008E6754"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3827" w:type="dxa"/>
          </w:tcPr>
          <w:p w14:paraId="6212A7C0" w14:textId="77777777" w:rsidR="008E6754" w:rsidRPr="00496749"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6749">
              <w:rPr>
                <w:rFonts w:ascii="Calibri" w:hAnsi="Calibri" w:cs="Calibri"/>
              </w:rPr>
              <w:t>Masked for private facilities</w:t>
            </w:r>
          </w:p>
        </w:tc>
      </w:tr>
      <w:tr w:rsidR="00B2029F" w:rsidRPr="00496749" w14:paraId="235982C6"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0853176F" w14:textId="77777777" w:rsidR="00B2029F" w:rsidRDefault="00B2029F" w:rsidP="00322F41">
            <w:r>
              <w:t>Service Unit HERO Identifier</w:t>
            </w:r>
          </w:p>
        </w:tc>
        <w:tc>
          <w:tcPr>
            <w:tcW w:w="5245" w:type="dxa"/>
            <w:shd w:val="clear" w:color="auto" w:fill="auto"/>
          </w:tcPr>
          <w:p w14:paraId="76B6A9D4" w14:textId="77777777" w:rsidR="00B2029F" w:rsidRPr="001704A3" w:rsidRDefault="00BC23E6" w:rsidP="00322F41">
            <w:pPr>
              <w:tabs>
                <w:tab w:val="left" w:pos="97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A unique identifier assigned to a service unit by HERO</w:t>
            </w:r>
          </w:p>
        </w:tc>
        <w:tc>
          <w:tcPr>
            <w:tcW w:w="2268" w:type="dxa"/>
            <w:shd w:val="clear" w:color="auto" w:fill="auto"/>
          </w:tcPr>
          <w:p w14:paraId="589E31AC" w14:textId="77777777" w:rsidR="00B2029F" w:rsidRDefault="00B2029F" w:rsidP="00322F41">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3827" w:type="dxa"/>
          </w:tcPr>
          <w:p w14:paraId="47E47B43" w14:textId="77777777" w:rsidR="00B2029F" w:rsidRPr="00496749" w:rsidRDefault="00B2029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E6754" w:rsidRPr="00496749" w14:paraId="234B8406" w14:textId="77777777" w:rsidTr="003C4035">
        <w:trPr>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3BFA99B5" w14:textId="77777777" w:rsidR="008E6754" w:rsidRPr="00A77A70" w:rsidRDefault="008E6754" w:rsidP="00322F41">
            <w:pPr>
              <w:rPr>
                <w:rFonts w:ascii="Calibri" w:hAnsi="Calibri" w:cs="Arial"/>
                <w:color w:val="000000"/>
              </w:rPr>
            </w:pPr>
            <w:r>
              <w:lastRenderedPageBreak/>
              <w:t>TIER 2 Non-Admitted Service Classification</w:t>
            </w:r>
          </w:p>
        </w:tc>
        <w:tc>
          <w:tcPr>
            <w:tcW w:w="5245" w:type="dxa"/>
            <w:shd w:val="clear" w:color="auto" w:fill="auto"/>
          </w:tcPr>
          <w:p w14:paraId="17E77BF0" w14:textId="77777777" w:rsidR="008E6754" w:rsidRPr="005007BB" w:rsidRDefault="008E6754" w:rsidP="00322F41">
            <w:pPr>
              <w:tabs>
                <w:tab w:val="left" w:pos="975"/>
              </w:tabs>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007BB">
              <w:rPr>
                <w:rFonts w:ascii="Calibri" w:hAnsi="Calibri" w:cs="Arial"/>
              </w:rPr>
              <w:t>Tier 2 is intended to classify a non-admitted clinic to a single class. All non-admitted patient service events provided by that clinic are subsequently classified to that Tier 2 class.</w:t>
            </w:r>
          </w:p>
          <w:p w14:paraId="268A6F18" w14:textId="77777777" w:rsidR="008E6754" w:rsidRPr="005007BB" w:rsidRDefault="008E6754" w:rsidP="00322F41">
            <w:pPr>
              <w:tabs>
                <w:tab w:val="left" w:pos="975"/>
              </w:tabs>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007BB">
              <w:rPr>
                <w:rFonts w:ascii="Calibri" w:hAnsi="Calibri" w:cs="Arial"/>
              </w:rPr>
              <w:t>Tier 2 is a hierarchical classification comprising two levels, namely Groups (the broadest level of the classification) and Classes (the most detailed level of the classification).</w:t>
            </w:r>
          </w:p>
          <w:p w14:paraId="27D4BB72" w14:textId="77777777" w:rsidR="008E6754"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2268" w:type="dxa"/>
            <w:shd w:val="clear" w:color="auto" w:fill="auto"/>
          </w:tcPr>
          <w:p w14:paraId="2727C215" w14:textId="77777777" w:rsidR="008E6754" w:rsidRPr="004705CB" w:rsidRDefault="008E6754" w:rsidP="00322F41">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Tier 2 non-Admitted Services </w:t>
            </w:r>
            <w:proofErr w:type="spellStart"/>
            <w:r>
              <w:rPr>
                <w:rFonts w:ascii="Calibri" w:hAnsi="Calibri" w:cs="Arial"/>
              </w:rPr>
              <w:t>Defintions</w:t>
            </w:r>
            <w:proofErr w:type="spellEnd"/>
            <w:r>
              <w:rPr>
                <w:rFonts w:ascii="Calibri" w:hAnsi="Calibri" w:cs="Arial"/>
              </w:rPr>
              <w:t xml:space="preserve"> Manual 2018-19; V 5.0;  </w:t>
            </w:r>
            <w:proofErr w:type="spellStart"/>
            <w:r>
              <w:rPr>
                <w:rFonts w:ascii="Calibri" w:hAnsi="Calibri" w:cs="Arial"/>
              </w:rPr>
              <w:t>Ocotber</w:t>
            </w:r>
            <w:proofErr w:type="spellEnd"/>
            <w:r>
              <w:rPr>
                <w:rFonts w:ascii="Calibri" w:hAnsi="Calibri" w:cs="Arial"/>
              </w:rPr>
              <w:t>, 2017</w:t>
            </w:r>
          </w:p>
        </w:tc>
        <w:tc>
          <w:tcPr>
            <w:tcW w:w="3827" w:type="dxa"/>
          </w:tcPr>
          <w:p w14:paraId="3B4D65EA" w14:textId="77777777" w:rsidR="008E6754" w:rsidRPr="00496749" w:rsidRDefault="00047DAF" w:rsidP="00322F4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See Appendix </w:t>
            </w:r>
            <w:r w:rsidR="00F079F9">
              <w:rPr>
                <w:rFonts w:ascii="Calibri" w:hAnsi="Calibri" w:cs="Calibri"/>
              </w:rPr>
              <w:t>Y</w:t>
            </w:r>
          </w:p>
        </w:tc>
      </w:tr>
      <w:tr w:rsidR="008E6754" w:rsidRPr="00496749" w14:paraId="28457CA7" w14:textId="77777777" w:rsidTr="003C40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3" w:type="dxa"/>
            <w:shd w:val="clear" w:color="auto" w:fill="DADAE9" w:themeFill="accent1" w:themeFillTint="33"/>
          </w:tcPr>
          <w:p w14:paraId="23148EA2" w14:textId="77777777" w:rsidR="008E6754" w:rsidRDefault="008E6754" w:rsidP="00322F41">
            <w:r>
              <w:t>Usual Living Arrangements</w:t>
            </w:r>
          </w:p>
        </w:tc>
        <w:tc>
          <w:tcPr>
            <w:tcW w:w="5245" w:type="dxa"/>
            <w:shd w:val="clear" w:color="auto" w:fill="auto"/>
          </w:tcPr>
          <w:p w14:paraId="66B09605"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007BB">
              <w:rPr>
                <w:rFonts w:ascii="Calibri" w:hAnsi="Calibri" w:cs="Calibri"/>
              </w:rPr>
              <w:t>A classification describing the living arrangements of a client / patient in terms of his / her relationship to those sharing the same household.</w:t>
            </w:r>
          </w:p>
        </w:tc>
        <w:tc>
          <w:tcPr>
            <w:tcW w:w="2268" w:type="dxa"/>
            <w:shd w:val="clear" w:color="auto" w:fill="auto"/>
          </w:tcPr>
          <w:p w14:paraId="1F782E5C" w14:textId="77777777" w:rsidR="008E6754" w:rsidRPr="005007BB" w:rsidRDefault="008E6754"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827" w:type="dxa"/>
          </w:tcPr>
          <w:p w14:paraId="60975284" w14:textId="77777777" w:rsidR="008E6754" w:rsidRPr="00496749" w:rsidRDefault="00047DAF" w:rsidP="00322F4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See Appendix </w:t>
            </w:r>
            <w:r w:rsidR="00F079F9">
              <w:rPr>
                <w:rFonts w:ascii="Calibri" w:hAnsi="Calibri" w:cs="Calibri"/>
              </w:rPr>
              <w:t>Z</w:t>
            </w:r>
          </w:p>
        </w:tc>
      </w:tr>
      <w:bookmarkEnd w:id="0"/>
    </w:tbl>
    <w:p w14:paraId="0CCBDF53" w14:textId="77777777" w:rsidR="00524FC2" w:rsidRPr="00524FC2" w:rsidRDefault="00524FC2" w:rsidP="00524FC2"/>
    <w:sectPr w:rsidR="00524FC2" w:rsidRPr="00524FC2" w:rsidSect="00524FC2">
      <w:footerReference w:type="default" r:id="rId13"/>
      <w:footerReference w:type="first" r:id="rId14"/>
      <w:pgSz w:w="16838" w:h="11906" w:orient="landscape" w:code="9"/>
      <w:pgMar w:top="1440" w:right="1440" w:bottom="849" w:left="1440" w:header="709" w:footer="709" w:gutter="0"/>
      <w:cols w:space="2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361D2" w14:textId="77777777" w:rsidR="009A3B32" w:rsidRDefault="009A3B32" w:rsidP="00D65965">
      <w:r>
        <w:separator/>
      </w:r>
    </w:p>
  </w:endnote>
  <w:endnote w:type="continuationSeparator" w:id="0">
    <w:p w14:paraId="4CDFCFAE" w14:textId="77777777" w:rsidR="009A3B32" w:rsidRDefault="009A3B32"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ZYaoTi">
    <w:altName w:val="方正姚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541"/>
      <w:gridCol w:w="8715"/>
    </w:tblGrid>
    <w:tr w:rsidR="000A63BC" w14:paraId="2CB6C7E0" w14:textId="77777777" w:rsidTr="00546DB4">
      <w:tc>
        <w:tcPr>
          <w:tcW w:w="292" w:type="pct"/>
        </w:tcPr>
        <w:p w14:paraId="4660B63E" w14:textId="77777777" w:rsidR="000A63BC" w:rsidRPr="00646513" w:rsidRDefault="000A63BC" w:rsidP="00F00049">
          <w:pPr>
            <w:pStyle w:val="Footer"/>
            <w:rPr>
              <w:rFonts w:ascii="Corbel" w:hAnsi="Corbel"/>
              <w:color w:val="53548A" w:themeColor="accent1"/>
            </w:rPr>
          </w:pPr>
          <w:r w:rsidRPr="00646513">
            <w:rPr>
              <w:rFonts w:ascii="Corbel" w:hAnsi="Corbel"/>
            </w:rPr>
            <w:fldChar w:fldCharType="begin"/>
          </w:r>
          <w:r w:rsidRPr="00646513">
            <w:rPr>
              <w:rFonts w:ascii="Corbel" w:hAnsi="Corbel"/>
            </w:rPr>
            <w:instrText xml:space="preserve"> PAGE   \* MERGEFORMAT </w:instrText>
          </w:r>
          <w:r w:rsidRPr="00646513">
            <w:rPr>
              <w:rFonts w:ascii="Corbel" w:hAnsi="Corbel"/>
            </w:rPr>
            <w:fldChar w:fldCharType="separate"/>
          </w:r>
          <w:r w:rsidR="00E61120" w:rsidRPr="00E61120">
            <w:rPr>
              <w:rFonts w:ascii="Corbel" w:hAnsi="Corbel"/>
              <w:noProof/>
              <w:color w:val="53548A" w:themeColor="accent1"/>
            </w:rPr>
            <w:t>2</w:t>
          </w:r>
          <w:r w:rsidRPr="00646513">
            <w:rPr>
              <w:rFonts w:ascii="Corbel" w:hAnsi="Corbel"/>
              <w:noProof/>
              <w:color w:val="53548A" w:themeColor="accent1"/>
            </w:rPr>
            <w:fldChar w:fldCharType="end"/>
          </w:r>
        </w:p>
      </w:tc>
      <w:tc>
        <w:tcPr>
          <w:tcW w:w="4708" w:type="pct"/>
        </w:tcPr>
        <w:p w14:paraId="073C3B2C" w14:textId="77777777" w:rsidR="000A63BC" w:rsidRPr="00646513" w:rsidRDefault="000A63BC" w:rsidP="00E61120">
          <w:pPr>
            <w:pStyle w:val="Footer"/>
            <w:jc w:val="right"/>
            <w:rPr>
              <w:rFonts w:ascii="Corbel" w:hAnsi="Corbel"/>
              <w:color w:val="53548A" w:themeColor="accent1"/>
            </w:rPr>
          </w:pPr>
          <w:r>
            <w:rPr>
              <w:rFonts w:ascii="Corbel" w:hAnsi="Corbel"/>
              <w:color w:val="53548A" w:themeColor="accent1"/>
            </w:rPr>
            <w:t xml:space="preserve">Non-Admitted Patient Data Collection                                                          Last updated </w:t>
          </w:r>
          <w:r w:rsidR="00E61120">
            <w:rPr>
              <w:rFonts w:ascii="Corbel" w:hAnsi="Corbel"/>
              <w:color w:val="53548A" w:themeColor="accent1"/>
            </w:rPr>
            <w:t>18 May 2018</w:t>
          </w:r>
        </w:p>
      </w:tc>
    </w:tr>
    <w:tr w:rsidR="000A63BC" w14:paraId="7D092432" w14:textId="77777777" w:rsidTr="00546DB4">
      <w:tc>
        <w:tcPr>
          <w:tcW w:w="292" w:type="pct"/>
        </w:tcPr>
        <w:p w14:paraId="7B1E9B63" w14:textId="77777777" w:rsidR="000A63BC" w:rsidRPr="00646513" w:rsidRDefault="000A63BC" w:rsidP="00F00049">
          <w:pPr>
            <w:pStyle w:val="Footer"/>
            <w:rPr>
              <w:rFonts w:ascii="Corbel" w:hAnsi="Corbel"/>
            </w:rPr>
          </w:pPr>
        </w:p>
      </w:tc>
      <w:tc>
        <w:tcPr>
          <w:tcW w:w="4708" w:type="pct"/>
        </w:tcPr>
        <w:p w14:paraId="603C1BF3" w14:textId="77777777" w:rsidR="000A63BC" w:rsidRDefault="000A63BC" w:rsidP="00BC26B6">
          <w:pPr>
            <w:pStyle w:val="Footer"/>
            <w:jc w:val="right"/>
            <w:rPr>
              <w:rFonts w:ascii="Corbel" w:hAnsi="Corbel"/>
              <w:color w:val="53548A" w:themeColor="accent1"/>
            </w:rPr>
          </w:pPr>
        </w:p>
      </w:tc>
    </w:tr>
  </w:tbl>
  <w:p w14:paraId="62BE9A15" w14:textId="77777777" w:rsidR="000A63BC" w:rsidRDefault="000A63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509"/>
      <w:gridCol w:w="8747"/>
    </w:tblGrid>
    <w:tr w:rsidR="005007BB" w14:paraId="66DCE6ED" w14:textId="77777777" w:rsidTr="00546DB4">
      <w:tc>
        <w:tcPr>
          <w:tcW w:w="275" w:type="pct"/>
        </w:tcPr>
        <w:p w14:paraId="78013928" w14:textId="77777777" w:rsidR="005007BB" w:rsidRPr="00646513" w:rsidRDefault="005007BB" w:rsidP="00567A3C">
          <w:pPr>
            <w:pStyle w:val="Footer"/>
            <w:rPr>
              <w:rFonts w:ascii="Corbel" w:hAnsi="Corbel"/>
              <w:color w:val="53548A" w:themeColor="accent1"/>
            </w:rPr>
          </w:pPr>
          <w:r w:rsidRPr="00646513">
            <w:rPr>
              <w:rFonts w:ascii="Corbel" w:hAnsi="Corbel"/>
            </w:rPr>
            <w:fldChar w:fldCharType="begin"/>
          </w:r>
          <w:r w:rsidRPr="00646513">
            <w:rPr>
              <w:rFonts w:ascii="Corbel" w:hAnsi="Corbel"/>
            </w:rPr>
            <w:instrText xml:space="preserve"> PAGE   \* MERGEFORMAT </w:instrText>
          </w:r>
          <w:r w:rsidRPr="00646513">
            <w:rPr>
              <w:rFonts w:ascii="Corbel" w:hAnsi="Corbel"/>
            </w:rPr>
            <w:fldChar w:fldCharType="separate"/>
          </w:r>
          <w:r w:rsidR="00E61120" w:rsidRPr="00E61120">
            <w:rPr>
              <w:rFonts w:ascii="Corbel" w:hAnsi="Corbel"/>
              <w:noProof/>
              <w:color w:val="53548A" w:themeColor="accent1"/>
            </w:rPr>
            <w:t>3</w:t>
          </w:r>
          <w:r w:rsidRPr="00646513">
            <w:rPr>
              <w:rFonts w:ascii="Corbel" w:hAnsi="Corbel"/>
              <w:noProof/>
              <w:color w:val="53548A" w:themeColor="accent1"/>
            </w:rPr>
            <w:fldChar w:fldCharType="end"/>
          </w:r>
        </w:p>
      </w:tc>
      <w:tc>
        <w:tcPr>
          <w:tcW w:w="4725" w:type="pct"/>
        </w:tcPr>
        <w:p w14:paraId="61FAA01A" w14:textId="77777777" w:rsidR="005007BB" w:rsidRPr="00646513" w:rsidRDefault="005007BB" w:rsidP="00A93DED">
          <w:pPr>
            <w:pStyle w:val="Footer"/>
            <w:rPr>
              <w:rFonts w:ascii="Corbel" w:hAnsi="Corbel"/>
              <w:color w:val="53548A" w:themeColor="accent1"/>
            </w:rPr>
          </w:pPr>
          <w:r>
            <w:rPr>
              <w:rFonts w:ascii="Corbel" w:hAnsi="Corbel"/>
              <w:color w:val="53548A" w:themeColor="accent1"/>
            </w:rPr>
            <w:t>Non-Admitted Patient Data Collection</w:t>
          </w:r>
          <w:r>
            <w:t xml:space="preserve"> </w:t>
          </w:r>
        </w:p>
      </w:tc>
    </w:tr>
    <w:tr w:rsidR="005007BB" w14:paraId="2C8194B6" w14:textId="77777777" w:rsidTr="00546DB4">
      <w:tc>
        <w:tcPr>
          <w:tcW w:w="275" w:type="pct"/>
        </w:tcPr>
        <w:p w14:paraId="4393F800" w14:textId="77777777" w:rsidR="005007BB" w:rsidRPr="00646513" w:rsidRDefault="005007BB" w:rsidP="00567A3C">
          <w:pPr>
            <w:pStyle w:val="Footer"/>
            <w:rPr>
              <w:rFonts w:ascii="Corbel" w:hAnsi="Corbel"/>
            </w:rPr>
          </w:pPr>
          <w:r>
            <w:rPr>
              <w:rFonts w:ascii="Corbel" w:hAnsi="Corbel"/>
            </w:rPr>
            <w:t xml:space="preserve">  </w:t>
          </w:r>
        </w:p>
      </w:tc>
      <w:tc>
        <w:tcPr>
          <w:tcW w:w="4725" w:type="pct"/>
        </w:tcPr>
        <w:p w14:paraId="1E9DF30A" w14:textId="77777777" w:rsidR="005007BB" w:rsidRDefault="005007BB" w:rsidP="00567A3C">
          <w:pPr>
            <w:pStyle w:val="Footer"/>
            <w:rPr>
              <w:rFonts w:ascii="Corbel" w:hAnsi="Corbel"/>
              <w:color w:val="53548A" w:themeColor="accent1"/>
            </w:rPr>
          </w:pPr>
        </w:p>
      </w:tc>
    </w:tr>
  </w:tbl>
  <w:p w14:paraId="0232C7F0" w14:textId="77777777" w:rsidR="005007BB" w:rsidRPr="00312457" w:rsidRDefault="005007BB" w:rsidP="00312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B621" w14:textId="77777777" w:rsidR="005007BB" w:rsidRDefault="005007BB">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1FAA" w14:textId="77777777" w:rsidR="009A3B32" w:rsidRDefault="009A3B32" w:rsidP="00D65965">
      <w:r>
        <w:separator/>
      </w:r>
    </w:p>
  </w:footnote>
  <w:footnote w:type="continuationSeparator" w:id="0">
    <w:p w14:paraId="299D4674" w14:textId="77777777" w:rsidR="009A3B32" w:rsidRDefault="009A3B32" w:rsidP="00D65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4FED"/>
    <w:multiLevelType w:val="hybridMultilevel"/>
    <w:tmpl w:val="AED0E0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6A22987"/>
    <w:multiLevelType w:val="multilevel"/>
    <w:tmpl w:val="CD340054"/>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F755BD"/>
    <w:multiLevelType w:val="hybridMultilevel"/>
    <w:tmpl w:val="1B7A853E"/>
    <w:lvl w:ilvl="0" w:tplc="9FF02A96">
      <w:numFmt w:val="bullet"/>
      <w:lvlText w:val="-"/>
      <w:lvlJc w:val="left"/>
      <w:pPr>
        <w:ind w:left="780" w:hanging="360"/>
      </w:pPr>
      <w:rPr>
        <w:rFonts w:ascii="Calibri" w:eastAsiaTheme="minorEastAsia"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0B64D12"/>
    <w:multiLevelType w:val="multilevel"/>
    <w:tmpl w:val="CF6C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82C4B"/>
    <w:multiLevelType w:val="multilevel"/>
    <w:tmpl w:val="DAA0A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42B1E"/>
    <w:multiLevelType w:val="multilevel"/>
    <w:tmpl w:val="2F10DC26"/>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1B6FD3"/>
    <w:multiLevelType w:val="hybridMultilevel"/>
    <w:tmpl w:val="028E5496"/>
    <w:lvl w:ilvl="0" w:tplc="9FF02A9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424F4E"/>
    <w:multiLevelType w:val="hybridMultilevel"/>
    <w:tmpl w:val="7086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4"/>
  </w:num>
  <w:num w:numId="4">
    <w:abstractNumId w:val="11"/>
  </w:num>
  <w:num w:numId="5">
    <w:abstractNumId w:val="21"/>
  </w:num>
  <w:num w:numId="6">
    <w:abstractNumId w:val="16"/>
  </w:num>
  <w:num w:numId="7">
    <w:abstractNumId w:val="19"/>
  </w:num>
  <w:num w:numId="8">
    <w:abstractNumId w:val="17"/>
  </w:num>
  <w:num w:numId="9">
    <w:abstractNumId w:val="14"/>
  </w:num>
  <w:num w:numId="10">
    <w:abstractNumId w:val="2"/>
  </w:num>
  <w:num w:numId="11">
    <w:abstractNumId w:val="3"/>
  </w:num>
  <w:num w:numId="12">
    <w:abstractNumId w:val="12"/>
  </w:num>
  <w:num w:numId="13">
    <w:abstractNumId w:val="8"/>
  </w:num>
  <w:num w:numId="14">
    <w:abstractNumId w:val="23"/>
  </w:num>
  <w:num w:numId="15">
    <w:abstractNumId w:val="18"/>
  </w:num>
  <w:num w:numId="16">
    <w:abstractNumId w:val="5"/>
  </w:num>
  <w:num w:numId="17">
    <w:abstractNumId w:val="7"/>
  </w:num>
  <w:num w:numId="18">
    <w:abstractNumId w:val="6"/>
  </w:num>
  <w:num w:numId="19">
    <w:abstractNumId w:val="1"/>
  </w:num>
  <w:num w:numId="20">
    <w:abstractNumId w:val="9"/>
  </w:num>
  <w:num w:numId="21">
    <w:abstractNumId w:val="10"/>
  </w:num>
  <w:num w:numId="22">
    <w:abstractNumId w:val="13"/>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F4A"/>
    <w:rsid w:val="00007C98"/>
    <w:rsid w:val="000109A8"/>
    <w:rsid w:val="00020019"/>
    <w:rsid w:val="000235C5"/>
    <w:rsid w:val="0003089C"/>
    <w:rsid w:val="0004138F"/>
    <w:rsid w:val="00041511"/>
    <w:rsid w:val="00042765"/>
    <w:rsid w:val="00047DAF"/>
    <w:rsid w:val="00054A0F"/>
    <w:rsid w:val="00067458"/>
    <w:rsid w:val="00073034"/>
    <w:rsid w:val="00075C1A"/>
    <w:rsid w:val="00082AFF"/>
    <w:rsid w:val="000842B6"/>
    <w:rsid w:val="00085C37"/>
    <w:rsid w:val="00087A52"/>
    <w:rsid w:val="00097186"/>
    <w:rsid w:val="000A055E"/>
    <w:rsid w:val="000A287A"/>
    <w:rsid w:val="000A63BC"/>
    <w:rsid w:val="000A7E86"/>
    <w:rsid w:val="000B298E"/>
    <w:rsid w:val="000B3DD0"/>
    <w:rsid w:val="000C0DBC"/>
    <w:rsid w:val="000C6CF1"/>
    <w:rsid w:val="000D7A22"/>
    <w:rsid w:val="000E6AEF"/>
    <w:rsid w:val="000F0839"/>
    <w:rsid w:val="000F23F0"/>
    <w:rsid w:val="000F3455"/>
    <w:rsid w:val="000F422A"/>
    <w:rsid w:val="00103811"/>
    <w:rsid w:val="001079FD"/>
    <w:rsid w:val="00113501"/>
    <w:rsid w:val="001137BE"/>
    <w:rsid w:val="00113EBF"/>
    <w:rsid w:val="00115828"/>
    <w:rsid w:val="00123272"/>
    <w:rsid w:val="00123E79"/>
    <w:rsid w:val="001248C5"/>
    <w:rsid w:val="001268A5"/>
    <w:rsid w:val="00131C19"/>
    <w:rsid w:val="0013216B"/>
    <w:rsid w:val="00136D1A"/>
    <w:rsid w:val="00144129"/>
    <w:rsid w:val="00144199"/>
    <w:rsid w:val="00144E32"/>
    <w:rsid w:val="00153590"/>
    <w:rsid w:val="00155EA3"/>
    <w:rsid w:val="00160C9F"/>
    <w:rsid w:val="0016315E"/>
    <w:rsid w:val="0016593A"/>
    <w:rsid w:val="001704A3"/>
    <w:rsid w:val="0017323E"/>
    <w:rsid w:val="00173DFF"/>
    <w:rsid w:val="00177345"/>
    <w:rsid w:val="00180E1E"/>
    <w:rsid w:val="001815F0"/>
    <w:rsid w:val="00183AC6"/>
    <w:rsid w:val="00194DD7"/>
    <w:rsid w:val="00196B63"/>
    <w:rsid w:val="00197EC9"/>
    <w:rsid w:val="001A1625"/>
    <w:rsid w:val="001B0145"/>
    <w:rsid w:val="001B0E02"/>
    <w:rsid w:val="001B3D44"/>
    <w:rsid w:val="001C14EB"/>
    <w:rsid w:val="001C36B7"/>
    <w:rsid w:val="001C3B9C"/>
    <w:rsid w:val="001C6055"/>
    <w:rsid w:val="001D0FA8"/>
    <w:rsid w:val="001D19BF"/>
    <w:rsid w:val="001D770F"/>
    <w:rsid w:val="001E5295"/>
    <w:rsid w:val="001E72E6"/>
    <w:rsid w:val="001F1681"/>
    <w:rsid w:val="001F5622"/>
    <w:rsid w:val="00204676"/>
    <w:rsid w:val="00206040"/>
    <w:rsid w:val="00206516"/>
    <w:rsid w:val="002139D7"/>
    <w:rsid w:val="00215F58"/>
    <w:rsid w:val="002271AE"/>
    <w:rsid w:val="00231300"/>
    <w:rsid w:val="00232ECE"/>
    <w:rsid w:val="00244181"/>
    <w:rsid w:val="00246897"/>
    <w:rsid w:val="002477B1"/>
    <w:rsid w:val="00256A94"/>
    <w:rsid w:val="002679D1"/>
    <w:rsid w:val="0027518C"/>
    <w:rsid w:val="00275C74"/>
    <w:rsid w:val="0027661D"/>
    <w:rsid w:val="00280E5C"/>
    <w:rsid w:val="0028304C"/>
    <w:rsid w:val="00284A1A"/>
    <w:rsid w:val="00285C14"/>
    <w:rsid w:val="002919A8"/>
    <w:rsid w:val="0029621F"/>
    <w:rsid w:val="00297AE1"/>
    <w:rsid w:val="002A12A9"/>
    <w:rsid w:val="002A13DB"/>
    <w:rsid w:val="002A4D05"/>
    <w:rsid w:val="002A66E1"/>
    <w:rsid w:val="002A79F8"/>
    <w:rsid w:val="002B1139"/>
    <w:rsid w:val="002B2903"/>
    <w:rsid w:val="002B4F35"/>
    <w:rsid w:val="002B629E"/>
    <w:rsid w:val="002C02DE"/>
    <w:rsid w:val="002C244C"/>
    <w:rsid w:val="002C2EA1"/>
    <w:rsid w:val="002C5157"/>
    <w:rsid w:val="002D2A77"/>
    <w:rsid w:val="002D39B6"/>
    <w:rsid w:val="002D3E14"/>
    <w:rsid w:val="002D6535"/>
    <w:rsid w:val="002D7E66"/>
    <w:rsid w:val="002E0266"/>
    <w:rsid w:val="002E72AE"/>
    <w:rsid w:val="002F37BE"/>
    <w:rsid w:val="002F4539"/>
    <w:rsid w:val="002F7C37"/>
    <w:rsid w:val="00305A7A"/>
    <w:rsid w:val="003066F8"/>
    <w:rsid w:val="00306A37"/>
    <w:rsid w:val="00312457"/>
    <w:rsid w:val="003135E3"/>
    <w:rsid w:val="00313861"/>
    <w:rsid w:val="00314292"/>
    <w:rsid w:val="00315322"/>
    <w:rsid w:val="00320CF0"/>
    <w:rsid w:val="003213C4"/>
    <w:rsid w:val="00322C75"/>
    <w:rsid w:val="00322F41"/>
    <w:rsid w:val="00323CBB"/>
    <w:rsid w:val="00327CAD"/>
    <w:rsid w:val="00343470"/>
    <w:rsid w:val="00346578"/>
    <w:rsid w:val="003469A6"/>
    <w:rsid w:val="0035636C"/>
    <w:rsid w:val="00356CC5"/>
    <w:rsid w:val="00356D3B"/>
    <w:rsid w:val="00360FC8"/>
    <w:rsid w:val="003616AF"/>
    <w:rsid w:val="00361778"/>
    <w:rsid w:val="00362526"/>
    <w:rsid w:val="00363251"/>
    <w:rsid w:val="00363D4E"/>
    <w:rsid w:val="00366494"/>
    <w:rsid w:val="00371EE7"/>
    <w:rsid w:val="00373B81"/>
    <w:rsid w:val="00383D05"/>
    <w:rsid w:val="0038433D"/>
    <w:rsid w:val="0038458A"/>
    <w:rsid w:val="00384B68"/>
    <w:rsid w:val="00393060"/>
    <w:rsid w:val="003936A7"/>
    <w:rsid w:val="00395288"/>
    <w:rsid w:val="003B3A96"/>
    <w:rsid w:val="003B552A"/>
    <w:rsid w:val="003C23F8"/>
    <w:rsid w:val="003C4035"/>
    <w:rsid w:val="003C553B"/>
    <w:rsid w:val="003C56C6"/>
    <w:rsid w:val="003D1292"/>
    <w:rsid w:val="003D2347"/>
    <w:rsid w:val="003D678F"/>
    <w:rsid w:val="003D7765"/>
    <w:rsid w:val="003E02F9"/>
    <w:rsid w:val="003E1499"/>
    <w:rsid w:val="003E284F"/>
    <w:rsid w:val="003E557C"/>
    <w:rsid w:val="003F0006"/>
    <w:rsid w:val="003F0A78"/>
    <w:rsid w:val="003F3250"/>
    <w:rsid w:val="003F7BF9"/>
    <w:rsid w:val="004117D4"/>
    <w:rsid w:val="00411821"/>
    <w:rsid w:val="00420D65"/>
    <w:rsid w:val="00420F4D"/>
    <w:rsid w:val="0042654A"/>
    <w:rsid w:val="004335F6"/>
    <w:rsid w:val="00440DBC"/>
    <w:rsid w:val="004418E5"/>
    <w:rsid w:val="004446DB"/>
    <w:rsid w:val="004473E5"/>
    <w:rsid w:val="004504F6"/>
    <w:rsid w:val="00452230"/>
    <w:rsid w:val="0045330C"/>
    <w:rsid w:val="00455573"/>
    <w:rsid w:val="004628A0"/>
    <w:rsid w:val="00466615"/>
    <w:rsid w:val="004705CB"/>
    <w:rsid w:val="00474C91"/>
    <w:rsid w:val="0048071E"/>
    <w:rsid w:val="00492503"/>
    <w:rsid w:val="00493809"/>
    <w:rsid w:val="00493D61"/>
    <w:rsid w:val="004942BF"/>
    <w:rsid w:val="00496749"/>
    <w:rsid w:val="0049789A"/>
    <w:rsid w:val="004A5FD1"/>
    <w:rsid w:val="004A6F9F"/>
    <w:rsid w:val="004B0534"/>
    <w:rsid w:val="004B2A37"/>
    <w:rsid w:val="004B6110"/>
    <w:rsid w:val="004C113D"/>
    <w:rsid w:val="004C257B"/>
    <w:rsid w:val="004D3AFC"/>
    <w:rsid w:val="004D607E"/>
    <w:rsid w:val="004E21B3"/>
    <w:rsid w:val="004E40AA"/>
    <w:rsid w:val="004E4331"/>
    <w:rsid w:val="005007BB"/>
    <w:rsid w:val="00500A8D"/>
    <w:rsid w:val="005060B4"/>
    <w:rsid w:val="00513CBE"/>
    <w:rsid w:val="00514A85"/>
    <w:rsid w:val="005206C1"/>
    <w:rsid w:val="00521A16"/>
    <w:rsid w:val="00522F91"/>
    <w:rsid w:val="00523C20"/>
    <w:rsid w:val="00524FC2"/>
    <w:rsid w:val="005259F6"/>
    <w:rsid w:val="00526021"/>
    <w:rsid w:val="005269E7"/>
    <w:rsid w:val="005303E8"/>
    <w:rsid w:val="00534636"/>
    <w:rsid w:val="00537BC7"/>
    <w:rsid w:val="00541C7E"/>
    <w:rsid w:val="00545BD6"/>
    <w:rsid w:val="00546DB4"/>
    <w:rsid w:val="005509B2"/>
    <w:rsid w:val="00556C9F"/>
    <w:rsid w:val="00560158"/>
    <w:rsid w:val="00560CF9"/>
    <w:rsid w:val="005619CB"/>
    <w:rsid w:val="00563EFE"/>
    <w:rsid w:val="00564F91"/>
    <w:rsid w:val="00566090"/>
    <w:rsid w:val="00567A3C"/>
    <w:rsid w:val="0057473D"/>
    <w:rsid w:val="00585DC7"/>
    <w:rsid w:val="00586C09"/>
    <w:rsid w:val="0058750A"/>
    <w:rsid w:val="00587E79"/>
    <w:rsid w:val="005911FA"/>
    <w:rsid w:val="0059133E"/>
    <w:rsid w:val="005919B2"/>
    <w:rsid w:val="00592C5F"/>
    <w:rsid w:val="00594ABC"/>
    <w:rsid w:val="00594FB3"/>
    <w:rsid w:val="00597180"/>
    <w:rsid w:val="005A29F7"/>
    <w:rsid w:val="005A5090"/>
    <w:rsid w:val="005B4377"/>
    <w:rsid w:val="005B5219"/>
    <w:rsid w:val="005B5DAD"/>
    <w:rsid w:val="005C09F6"/>
    <w:rsid w:val="005C67B1"/>
    <w:rsid w:val="005C680C"/>
    <w:rsid w:val="005D1466"/>
    <w:rsid w:val="005D20C2"/>
    <w:rsid w:val="005D2678"/>
    <w:rsid w:val="005E2800"/>
    <w:rsid w:val="005E79E6"/>
    <w:rsid w:val="005F268F"/>
    <w:rsid w:val="005F53F4"/>
    <w:rsid w:val="00602001"/>
    <w:rsid w:val="00604F0F"/>
    <w:rsid w:val="00606DE0"/>
    <w:rsid w:val="0061260A"/>
    <w:rsid w:val="00613C57"/>
    <w:rsid w:val="00615234"/>
    <w:rsid w:val="006302A2"/>
    <w:rsid w:val="00633025"/>
    <w:rsid w:val="00641B87"/>
    <w:rsid w:val="006423F7"/>
    <w:rsid w:val="006437B8"/>
    <w:rsid w:val="006459C6"/>
    <w:rsid w:val="00646513"/>
    <w:rsid w:val="00651362"/>
    <w:rsid w:val="00654C98"/>
    <w:rsid w:val="00655A52"/>
    <w:rsid w:val="00665D0B"/>
    <w:rsid w:val="00675B9C"/>
    <w:rsid w:val="006833D0"/>
    <w:rsid w:val="006912C3"/>
    <w:rsid w:val="006916DD"/>
    <w:rsid w:val="00691EAA"/>
    <w:rsid w:val="00692DB1"/>
    <w:rsid w:val="00696B7C"/>
    <w:rsid w:val="006A08AA"/>
    <w:rsid w:val="006A1F94"/>
    <w:rsid w:val="006B2567"/>
    <w:rsid w:val="006B7BD5"/>
    <w:rsid w:val="006C429C"/>
    <w:rsid w:val="006C7A21"/>
    <w:rsid w:val="006D2042"/>
    <w:rsid w:val="006E3FCC"/>
    <w:rsid w:val="006E4839"/>
    <w:rsid w:val="006E72EA"/>
    <w:rsid w:val="006F657A"/>
    <w:rsid w:val="0070283C"/>
    <w:rsid w:val="007059AF"/>
    <w:rsid w:val="00706B7E"/>
    <w:rsid w:val="00714F8C"/>
    <w:rsid w:val="0072072C"/>
    <w:rsid w:val="007255DB"/>
    <w:rsid w:val="00733EBB"/>
    <w:rsid w:val="0073593A"/>
    <w:rsid w:val="00735AC3"/>
    <w:rsid w:val="00737086"/>
    <w:rsid w:val="007370FE"/>
    <w:rsid w:val="00741683"/>
    <w:rsid w:val="00745256"/>
    <w:rsid w:val="00745491"/>
    <w:rsid w:val="007456B6"/>
    <w:rsid w:val="007505E2"/>
    <w:rsid w:val="00753D77"/>
    <w:rsid w:val="00754572"/>
    <w:rsid w:val="00754912"/>
    <w:rsid w:val="0075539D"/>
    <w:rsid w:val="00767C6C"/>
    <w:rsid w:val="00773D01"/>
    <w:rsid w:val="00774041"/>
    <w:rsid w:val="00774502"/>
    <w:rsid w:val="00774A5A"/>
    <w:rsid w:val="00781DF7"/>
    <w:rsid w:val="00795B4D"/>
    <w:rsid w:val="007A36C1"/>
    <w:rsid w:val="007A42FC"/>
    <w:rsid w:val="007A6212"/>
    <w:rsid w:val="007A68D4"/>
    <w:rsid w:val="007A6A37"/>
    <w:rsid w:val="007B3701"/>
    <w:rsid w:val="007C08DD"/>
    <w:rsid w:val="007C14C9"/>
    <w:rsid w:val="007D1788"/>
    <w:rsid w:val="007D325E"/>
    <w:rsid w:val="007D7DBD"/>
    <w:rsid w:val="007E1FB2"/>
    <w:rsid w:val="007E34DE"/>
    <w:rsid w:val="007E6E72"/>
    <w:rsid w:val="007F1B1C"/>
    <w:rsid w:val="007F379B"/>
    <w:rsid w:val="007F4966"/>
    <w:rsid w:val="00802133"/>
    <w:rsid w:val="00803C3E"/>
    <w:rsid w:val="0080436B"/>
    <w:rsid w:val="00806971"/>
    <w:rsid w:val="0082268C"/>
    <w:rsid w:val="00824E33"/>
    <w:rsid w:val="00826C9B"/>
    <w:rsid w:val="00830EAA"/>
    <w:rsid w:val="008311D0"/>
    <w:rsid w:val="008365B3"/>
    <w:rsid w:val="008453ED"/>
    <w:rsid w:val="00850003"/>
    <w:rsid w:val="00850863"/>
    <w:rsid w:val="00852D21"/>
    <w:rsid w:val="0085363C"/>
    <w:rsid w:val="008548A4"/>
    <w:rsid w:val="00855EE7"/>
    <w:rsid w:val="00863B1C"/>
    <w:rsid w:val="008666DB"/>
    <w:rsid w:val="00867E33"/>
    <w:rsid w:val="00870516"/>
    <w:rsid w:val="00873C67"/>
    <w:rsid w:val="00874FA5"/>
    <w:rsid w:val="00877F1E"/>
    <w:rsid w:val="008815D3"/>
    <w:rsid w:val="0088645C"/>
    <w:rsid w:val="0089005A"/>
    <w:rsid w:val="00892A92"/>
    <w:rsid w:val="0089750F"/>
    <w:rsid w:val="008A2CB3"/>
    <w:rsid w:val="008A5883"/>
    <w:rsid w:val="008B20B8"/>
    <w:rsid w:val="008B52CC"/>
    <w:rsid w:val="008B6AA1"/>
    <w:rsid w:val="008C1B7B"/>
    <w:rsid w:val="008C2938"/>
    <w:rsid w:val="008C2EDB"/>
    <w:rsid w:val="008C779E"/>
    <w:rsid w:val="008D0AF4"/>
    <w:rsid w:val="008D2064"/>
    <w:rsid w:val="008D25B9"/>
    <w:rsid w:val="008D2C82"/>
    <w:rsid w:val="008D2E5D"/>
    <w:rsid w:val="008D634B"/>
    <w:rsid w:val="008E1ED3"/>
    <w:rsid w:val="008E3DCC"/>
    <w:rsid w:val="008E6754"/>
    <w:rsid w:val="0090641E"/>
    <w:rsid w:val="00910990"/>
    <w:rsid w:val="00911F0E"/>
    <w:rsid w:val="009157DF"/>
    <w:rsid w:val="00921122"/>
    <w:rsid w:val="0092172F"/>
    <w:rsid w:val="00922301"/>
    <w:rsid w:val="00935A1F"/>
    <w:rsid w:val="0093765F"/>
    <w:rsid w:val="009474F8"/>
    <w:rsid w:val="00956EF7"/>
    <w:rsid w:val="009612D9"/>
    <w:rsid w:val="00961762"/>
    <w:rsid w:val="00966C98"/>
    <w:rsid w:val="0096739F"/>
    <w:rsid w:val="009676D0"/>
    <w:rsid w:val="00973C0A"/>
    <w:rsid w:val="00975040"/>
    <w:rsid w:val="00977120"/>
    <w:rsid w:val="00982A63"/>
    <w:rsid w:val="00984621"/>
    <w:rsid w:val="009856E3"/>
    <w:rsid w:val="00996A7B"/>
    <w:rsid w:val="009A36A0"/>
    <w:rsid w:val="009A3B32"/>
    <w:rsid w:val="009A3C14"/>
    <w:rsid w:val="009A7E1C"/>
    <w:rsid w:val="009B36D9"/>
    <w:rsid w:val="009B3732"/>
    <w:rsid w:val="009B5E82"/>
    <w:rsid w:val="009B66DE"/>
    <w:rsid w:val="009B6893"/>
    <w:rsid w:val="009C4C83"/>
    <w:rsid w:val="009C60D9"/>
    <w:rsid w:val="009C6A87"/>
    <w:rsid w:val="009D1239"/>
    <w:rsid w:val="009D4005"/>
    <w:rsid w:val="009D536B"/>
    <w:rsid w:val="009D75D6"/>
    <w:rsid w:val="009D79EF"/>
    <w:rsid w:val="009E43DA"/>
    <w:rsid w:val="009E4B93"/>
    <w:rsid w:val="009E4FA0"/>
    <w:rsid w:val="009E614B"/>
    <w:rsid w:val="009F14BA"/>
    <w:rsid w:val="009F6226"/>
    <w:rsid w:val="00A01561"/>
    <w:rsid w:val="00A02555"/>
    <w:rsid w:val="00A02C27"/>
    <w:rsid w:val="00A034B0"/>
    <w:rsid w:val="00A039DA"/>
    <w:rsid w:val="00A11296"/>
    <w:rsid w:val="00A127B9"/>
    <w:rsid w:val="00A17144"/>
    <w:rsid w:val="00A17159"/>
    <w:rsid w:val="00A209E0"/>
    <w:rsid w:val="00A24883"/>
    <w:rsid w:val="00A2661F"/>
    <w:rsid w:val="00A26918"/>
    <w:rsid w:val="00A26B43"/>
    <w:rsid w:val="00A3619F"/>
    <w:rsid w:val="00A4027E"/>
    <w:rsid w:val="00A47363"/>
    <w:rsid w:val="00A476E1"/>
    <w:rsid w:val="00A51398"/>
    <w:rsid w:val="00A538C6"/>
    <w:rsid w:val="00A54A1B"/>
    <w:rsid w:val="00A561B6"/>
    <w:rsid w:val="00A56710"/>
    <w:rsid w:val="00A606F2"/>
    <w:rsid w:val="00A64BEC"/>
    <w:rsid w:val="00A65A33"/>
    <w:rsid w:val="00A70BA1"/>
    <w:rsid w:val="00A73C91"/>
    <w:rsid w:val="00A905A1"/>
    <w:rsid w:val="00A9271C"/>
    <w:rsid w:val="00A93DED"/>
    <w:rsid w:val="00A96FF7"/>
    <w:rsid w:val="00A973CA"/>
    <w:rsid w:val="00AA350B"/>
    <w:rsid w:val="00AA5148"/>
    <w:rsid w:val="00AA557D"/>
    <w:rsid w:val="00AA5DCB"/>
    <w:rsid w:val="00AB72E7"/>
    <w:rsid w:val="00AC161B"/>
    <w:rsid w:val="00AC2764"/>
    <w:rsid w:val="00AC5377"/>
    <w:rsid w:val="00AC5418"/>
    <w:rsid w:val="00AD2EF7"/>
    <w:rsid w:val="00AD723A"/>
    <w:rsid w:val="00AE46AC"/>
    <w:rsid w:val="00AE49A8"/>
    <w:rsid w:val="00AF3CBF"/>
    <w:rsid w:val="00AF71F5"/>
    <w:rsid w:val="00B03B63"/>
    <w:rsid w:val="00B03C52"/>
    <w:rsid w:val="00B11051"/>
    <w:rsid w:val="00B12B73"/>
    <w:rsid w:val="00B1678E"/>
    <w:rsid w:val="00B2029F"/>
    <w:rsid w:val="00B24BCB"/>
    <w:rsid w:val="00B24C27"/>
    <w:rsid w:val="00B26D3F"/>
    <w:rsid w:val="00B30404"/>
    <w:rsid w:val="00B32323"/>
    <w:rsid w:val="00B3377D"/>
    <w:rsid w:val="00B360DE"/>
    <w:rsid w:val="00B37AC4"/>
    <w:rsid w:val="00B37AD6"/>
    <w:rsid w:val="00B41E23"/>
    <w:rsid w:val="00B4250F"/>
    <w:rsid w:val="00B42EB0"/>
    <w:rsid w:val="00B52698"/>
    <w:rsid w:val="00B52C7B"/>
    <w:rsid w:val="00B561EF"/>
    <w:rsid w:val="00B565C8"/>
    <w:rsid w:val="00B61581"/>
    <w:rsid w:val="00B62003"/>
    <w:rsid w:val="00B6244D"/>
    <w:rsid w:val="00B646B1"/>
    <w:rsid w:val="00B73F8C"/>
    <w:rsid w:val="00B83CE8"/>
    <w:rsid w:val="00B91419"/>
    <w:rsid w:val="00B918DB"/>
    <w:rsid w:val="00B93334"/>
    <w:rsid w:val="00B97BEE"/>
    <w:rsid w:val="00BA29E2"/>
    <w:rsid w:val="00BA2BAC"/>
    <w:rsid w:val="00BA6EE8"/>
    <w:rsid w:val="00BB2845"/>
    <w:rsid w:val="00BC23E6"/>
    <w:rsid w:val="00BC26B6"/>
    <w:rsid w:val="00BC4AC0"/>
    <w:rsid w:val="00BC5247"/>
    <w:rsid w:val="00BD3B95"/>
    <w:rsid w:val="00BD6E00"/>
    <w:rsid w:val="00BE1C2E"/>
    <w:rsid w:val="00BE223E"/>
    <w:rsid w:val="00BE5D96"/>
    <w:rsid w:val="00BE66CA"/>
    <w:rsid w:val="00BE781D"/>
    <w:rsid w:val="00BF0F4B"/>
    <w:rsid w:val="00BF15C1"/>
    <w:rsid w:val="00BF305E"/>
    <w:rsid w:val="00BF70AC"/>
    <w:rsid w:val="00C04596"/>
    <w:rsid w:val="00C05620"/>
    <w:rsid w:val="00C056CF"/>
    <w:rsid w:val="00C05BF6"/>
    <w:rsid w:val="00C05D69"/>
    <w:rsid w:val="00C06E0C"/>
    <w:rsid w:val="00C13498"/>
    <w:rsid w:val="00C15743"/>
    <w:rsid w:val="00C16763"/>
    <w:rsid w:val="00C17402"/>
    <w:rsid w:val="00C204E2"/>
    <w:rsid w:val="00C23409"/>
    <w:rsid w:val="00C256E3"/>
    <w:rsid w:val="00C257A6"/>
    <w:rsid w:val="00C25D17"/>
    <w:rsid w:val="00C2628D"/>
    <w:rsid w:val="00C2675A"/>
    <w:rsid w:val="00C30E9C"/>
    <w:rsid w:val="00C3639E"/>
    <w:rsid w:val="00C37513"/>
    <w:rsid w:val="00C42FEB"/>
    <w:rsid w:val="00C5153D"/>
    <w:rsid w:val="00C537CC"/>
    <w:rsid w:val="00C53A47"/>
    <w:rsid w:val="00C53CBB"/>
    <w:rsid w:val="00C603E9"/>
    <w:rsid w:val="00C72379"/>
    <w:rsid w:val="00C74F85"/>
    <w:rsid w:val="00C75658"/>
    <w:rsid w:val="00C84479"/>
    <w:rsid w:val="00CA041A"/>
    <w:rsid w:val="00CA0956"/>
    <w:rsid w:val="00CA4CDD"/>
    <w:rsid w:val="00CB18F5"/>
    <w:rsid w:val="00CC027C"/>
    <w:rsid w:val="00CC3A9A"/>
    <w:rsid w:val="00CC3E07"/>
    <w:rsid w:val="00CC667C"/>
    <w:rsid w:val="00CD1602"/>
    <w:rsid w:val="00CD31F5"/>
    <w:rsid w:val="00CD3873"/>
    <w:rsid w:val="00CD654A"/>
    <w:rsid w:val="00CE1DD8"/>
    <w:rsid w:val="00CE6943"/>
    <w:rsid w:val="00CE70BD"/>
    <w:rsid w:val="00CF111F"/>
    <w:rsid w:val="00D02F87"/>
    <w:rsid w:val="00D107BE"/>
    <w:rsid w:val="00D251BA"/>
    <w:rsid w:val="00D271D9"/>
    <w:rsid w:val="00D34824"/>
    <w:rsid w:val="00D36A05"/>
    <w:rsid w:val="00D41356"/>
    <w:rsid w:val="00D41F0F"/>
    <w:rsid w:val="00D44339"/>
    <w:rsid w:val="00D45AD1"/>
    <w:rsid w:val="00D45CB5"/>
    <w:rsid w:val="00D464FF"/>
    <w:rsid w:val="00D46F02"/>
    <w:rsid w:val="00D52F4C"/>
    <w:rsid w:val="00D61F2A"/>
    <w:rsid w:val="00D637CA"/>
    <w:rsid w:val="00D65965"/>
    <w:rsid w:val="00D66602"/>
    <w:rsid w:val="00D73BA3"/>
    <w:rsid w:val="00D76EB9"/>
    <w:rsid w:val="00D777E0"/>
    <w:rsid w:val="00D80D9C"/>
    <w:rsid w:val="00D855EF"/>
    <w:rsid w:val="00D87554"/>
    <w:rsid w:val="00DA1F37"/>
    <w:rsid w:val="00DA3470"/>
    <w:rsid w:val="00DA394A"/>
    <w:rsid w:val="00DA416C"/>
    <w:rsid w:val="00DA6318"/>
    <w:rsid w:val="00DA6C36"/>
    <w:rsid w:val="00DA6D50"/>
    <w:rsid w:val="00DB1982"/>
    <w:rsid w:val="00DB1F46"/>
    <w:rsid w:val="00DC6AA7"/>
    <w:rsid w:val="00DD62B6"/>
    <w:rsid w:val="00DD636E"/>
    <w:rsid w:val="00DE0DCD"/>
    <w:rsid w:val="00DE12FC"/>
    <w:rsid w:val="00DE24A7"/>
    <w:rsid w:val="00DE3801"/>
    <w:rsid w:val="00DE68B1"/>
    <w:rsid w:val="00DF0370"/>
    <w:rsid w:val="00DF326A"/>
    <w:rsid w:val="00DF6C1A"/>
    <w:rsid w:val="00E04D26"/>
    <w:rsid w:val="00E05F4A"/>
    <w:rsid w:val="00E06C3E"/>
    <w:rsid w:val="00E11049"/>
    <w:rsid w:val="00E110AA"/>
    <w:rsid w:val="00E20905"/>
    <w:rsid w:val="00E27162"/>
    <w:rsid w:val="00E31E57"/>
    <w:rsid w:val="00E3212C"/>
    <w:rsid w:val="00E33CFF"/>
    <w:rsid w:val="00E35AD3"/>
    <w:rsid w:val="00E41840"/>
    <w:rsid w:val="00E42A4A"/>
    <w:rsid w:val="00E440DD"/>
    <w:rsid w:val="00E44F0F"/>
    <w:rsid w:val="00E458C4"/>
    <w:rsid w:val="00E46096"/>
    <w:rsid w:val="00E46141"/>
    <w:rsid w:val="00E47FC3"/>
    <w:rsid w:val="00E55AB6"/>
    <w:rsid w:val="00E56386"/>
    <w:rsid w:val="00E56FE7"/>
    <w:rsid w:val="00E578B5"/>
    <w:rsid w:val="00E61120"/>
    <w:rsid w:val="00E62AC8"/>
    <w:rsid w:val="00E769F3"/>
    <w:rsid w:val="00E81980"/>
    <w:rsid w:val="00E831F6"/>
    <w:rsid w:val="00E864C0"/>
    <w:rsid w:val="00E87768"/>
    <w:rsid w:val="00E9028B"/>
    <w:rsid w:val="00E907E7"/>
    <w:rsid w:val="00E94FD6"/>
    <w:rsid w:val="00EA07F2"/>
    <w:rsid w:val="00EA7B12"/>
    <w:rsid w:val="00EB5A3F"/>
    <w:rsid w:val="00EB65AB"/>
    <w:rsid w:val="00EC1B68"/>
    <w:rsid w:val="00EC2ACB"/>
    <w:rsid w:val="00EC4336"/>
    <w:rsid w:val="00EC544B"/>
    <w:rsid w:val="00EC58EB"/>
    <w:rsid w:val="00EC6E0A"/>
    <w:rsid w:val="00EC740C"/>
    <w:rsid w:val="00EC75D2"/>
    <w:rsid w:val="00EC764D"/>
    <w:rsid w:val="00ED3279"/>
    <w:rsid w:val="00ED6F0A"/>
    <w:rsid w:val="00ED7EBA"/>
    <w:rsid w:val="00EE2700"/>
    <w:rsid w:val="00EF4B16"/>
    <w:rsid w:val="00EF6126"/>
    <w:rsid w:val="00EF70A2"/>
    <w:rsid w:val="00EF719B"/>
    <w:rsid w:val="00F00049"/>
    <w:rsid w:val="00F00A62"/>
    <w:rsid w:val="00F04945"/>
    <w:rsid w:val="00F0764E"/>
    <w:rsid w:val="00F079F9"/>
    <w:rsid w:val="00F07B67"/>
    <w:rsid w:val="00F10270"/>
    <w:rsid w:val="00F140B4"/>
    <w:rsid w:val="00F175CB"/>
    <w:rsid w:val="00F215C8"/>
    <w:rsid w:val="00F25B57"/>
    <w:rsid w:val="00F26903"/>
    <w:rsid w:val="00F26D02"/>
    <w:rsid w:val="00F31835"/>
    <w:rsid w:val="00F347C6"/>
    <w:rsid w:val="00F372E1"/>
    <w:rsid w:val="00F4048E"/>
    <w:rsid w:val="00F4138A"/>
    <w:rsid w:val="00F475A8"/>
    <w:rsid w:val="00F511ED"/>
    <w:rsid w:val="00F55A11"/>
    <w:rsid w:val="00F55B79"/>
    <w:rsid w:val="00F566FD"/>
    <w:rsid w:val="00F5705F"/>
    <w:rsid w:val="00F577E6"/>
    <w:rsid w:val="00F6072C"/>
    <w:rsid w:val="00F63E80"/>
    <w:rsid w:val="00F65D9E"/>
    <w:rsid w:val="00F661AD"/>
    <w:rsid w:val="00F71B39"/>
    <w:rsid w:val="00F777C0"/>
    <w:rsid w:val="00F80637"/>
    <w:rsid w:val="00F83DDD"/>
    <w:rsid w:val="00F84016"/>
    <w:rsid w:val="00F84522"/>
    <w:rsid w:val="00F86464"/>
    <w:rsid w:val="00F92A00"/>
    <w:rsid w:val="00F93CFE"/>
    <w:rsid w:val="00F955D1"/>
    <w:rsid w:val="00FB0B0C"/>
    <w:rsid w:val="00FB25CF"/>
    <w:rsid w:val="00FB3B3D"/>
    <w:rsid w:val="00FB5C05"/>
    <w:rsid w:val="00FC79B8"/>
    <w:rsid w:val="00FD16D1"/>
    <w:rsid w:val="00FD34CA"/>
    <w:rsid w:val="00FD5F98"/>
    <w:rsid w:val="00FE50EA"/>
    <w:rsid w:val="00FF2D1C"/>
    <w:rsid w:val="00FF4221"/>
    <w:rsid w:val="00FF4E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7ECFA8"/>
  <w15:docId w15:val="{FD60E541-9567-4581-94D7-21F9CAF6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Borders>
        <w:top w:val="single" w:sz="8" w:space="0" w:color="53548A" w:themeColor="accent1"/>
        <w:bottom w:val="single" w:sz="8" w:space="0" w:color="53548A" w:themeColor="accent1"/>
      </w:tblBorders>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FE50EA"/>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FE50EA"/>
    <w:rPr>
      <w:rFonts w:ascii="Arial" w:eastAsia="Times New Roman" w:hAnsi="Arial" w:cs="Times New Roman"/>
      <w:sz w:val="16"/>
      <w:szCs w:val="16"/>
      <w:lang w:val="en-AU" w:eastAsia="en-AU" w:bidi="ar-SA"/>
    </w:rPr>
  </w:style>
  <w:style w:type="paragraph" w:customStyle="1" w:styleId="style12">
    <w:name w:val="style12"/>
    <w:basedOn w:val="Normal"/>
    <w:rsid w:val="00EC544B"/>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255DB"/>
  </w:style>
  <w:style w:type="paragraph" w:styleId="BlockText">
    <w:name w:val="Block Text"/>
    <w:basedOn w:val="Normal"/>
    <w:rsid w:val="007255DB"/>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075C1A"/>
  </w:style>
  <w:style w:type="paragraph" w:styleId="Revision">
    <w:name w:val="Revision"/>
    <w:hidden/>
    <w:uiPriority w:val="99"/>
    <w:semiHidden/>
    <w:rsid w:val="001C3B9C"/>
    <w:pPr>
      <w:spacing w:after="0" w:line="240" w:lineRule="auto"/>
    </w:pPr>
  </w:style>
  <w:style w:type="character" w:styleId="UnresolvedMention">
    <w:name w:val="Unresolved Mention"/>
    <w:basedOn w:val="DefaultParagraphFont"/>
    <w:uiPriority w:val="99"/>
    <w:semiHidden/>
    <w:unhideWhenUsed/>
    <w:rsid w:val="0069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140">
      <w:bodyDiv w:val="1"/>
      <w:marLeft w:val="0"/>
      <w:marRight w:val="0"/>
      <w:marTop w:val="0"/>
      <w:marBottom w:val="0"/>
      <w:divBdr>
        <w:top w:val="none" w:sz="0" w:space="0" w:color="auto"/>
        <w:left w:val="none" w:sz="0" w:space="0" w:color="auto"/>
        <w:bottom w:val="none" w:sz="0" w:space="0" w:color="auto"/>
        <w:right w:val="none" w:sz="0" w:space="0" w:color="auto"/>
      </w:divBdr>
    </w:div>
    <w:div w:id="14499674">
      <w:bodyDiv w:val="1"/>
      <w:marLeft w:val="0"/>
      <w:marRight w:val="0"/>
      <w:marTop w:val="0"/>
      <w:marBottom w:val="0"/>
      <w:divBdr>
        <w:top w:val="none" w:sz="0" w:space="0" w:color="auto"/>
        <w:left w:val="none" w:sz="0" w:space="0" w:color="auto"/>
        <w:bottom w:val="none" w:sz="0" w:space="0" w:color="auto"/>
        <w:right w:val="none" w:sz="0" w:space="0" w:color="auto"/>
      </w:divBdr>
    </w:div>
    <w:div w:id="31079368">
      <w:bodyDiv w:val="1"/>
      <w:marLeft w:val="0"/>
      <w:marRight w:val="0"/>
      <w:marTop w:val="0"/>
      <w:marBottom w:val="0"/>
      <w:divBdr>
        <w:top w:val="none" w:sz="0" w:space="0" w:color="auto"/>
        <w:left w:val="none" w:sz="0" w:space="0" w:color="auto"/>
        <w:bottom w:val="none" w:sz="0" w:space="0" w:color="auto"/>
        <w:right w:val="none" w:sz="0" w:space="0" w:color="auto"/>
      </w:divBdr>
    </w:div>
    <w:div w:id="50035958">
      <w:bodyDiv w:val="1"/>
      <w:marLeft w:val="0"/>
      <w:marRight w:val="0"/>
      <w:marTop w:val="0"/>
      <w:marBottom w:val="0"/>
      <w:divBdr>
        <w:top w:val="none" w:sz="0" w:space="0" w:color="auto"/>
        <w:left w:val="none" w:sz="0" w:space="0" w:color="auto"/>
        <w:bottom w:val="none" w:sz="0" w:space="0" w:color="auto"/>
        <w:right w:val="none" w:sz="0" w:space="0" w:color="auto"/>
      </w:divBdr>
    </w:div>
    <w:div w:id="56708360">
      <w:bodyDiv w:val="1"/>
      <w:marLeft w:val="0"/>
      <w:marRight w:val="0"/>
      <w:marTop w:val="0"/>
      <w:marBottom w:val="0"/>
      <w:divBdr>
        <w:top w:val="none" w:sz="0" w:space="0" w:color="auto"/>
        <w:left w:val="none" w:sz="0" w:space="0" w:color="auto"/>
        <w:bottom w:val="none" w:sz="0" w:space="0" w:color="auto"/>
        <w:right w:val="none" w:sz="0" w:space="0" w:color="auto"/>
      </w:divBdr>
    </w:div>
    <w:div w:id="234629130">
      <w:bodyDiv w:val="1"/>
      <w:marLeft w:val="0"/>
      <w:marRight w:val="0"/>
      <w:marTop w:val="0"/>
      <w:marBottom w:val="0"/>
      <w:divBdr>
        <w:top w:val="none" w:sz="0" w:space="0" w:color="auto"/>
        <w:left w:val="none" w:sz="0" w:space="0" w:color="auto"/>
        <w:bottom w:val="none" w:sz="0" w:space="0" w:color="auto"/>
        <w:right w:val="none" w:sz="0" w:space="0" w:color="auto"/>
      </w:divBdr>
    </w:div>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3238">
      <w:bodyDiv w:val="1"/>
      <w:marLeft w:val="0"/>
      <w:marRight w:val="0"/>
      <w:marTop w:val="0"/>
      <w:marBottom w:val="0"/>
      <w:divBdr>
        <w:top w:val="none" w:sz="0" w:space="0" w:color="auto"/>
        <w:left w:val="none" w:sz="0" w:space="0" w:color="auto"/>
        <w:bottom w:val="none" w:sz="0" w:space="0" w:color="auto"/>
        <w:right w:val="none" w:sz="0" w:space="0" w:color="auto"/>
      </w:divBdr>
    </w:div>
    <w:div w:id="302781132">
      <w:bodyDiv w:val="1"/>
      <w:marLeft w:val="0"/>
      <w:marRight w:val="0"/>
      <w:marTop w:val="0"/>
      <w:marBottom w:val="0"/>
      <w:divBdr>
        <w:top w:val="none" w:sz="0" w:space="0" w:color="auto"/>
        <w:left w:val="none" w:sz="0" w:space="0" w:color="auto"/>
        <w:bottom w:val="none" w:sz="0" w:space="0" w:color="auto"/>
        <w:right w:val="none" w:sz="0" w:space="0" w:color="auto"/>
      </w:divBdr>
    </w:div>
    <w:div w:id="304897909">
      <w:bodyDiv w:val="1"/>
      <w:marLeft w:val="0"/>
      <w:marRight w:val="0"/>
      <w:marTop w:val="0"/>
      <w:marBottom w:val="0"/>
      <w:divBdr>
        <w:top w:val="none" w:sz="0" w:space="0" w:color="auto"/>
        <w:left w:val="none" w:sz="0" w:space="0" w:color="auto"/>
        <w:bottom w:val="none" w:sz="0" w:space="0" w:color="auto"/>
        <w:right w:val="none" w:sz="0" w:space="0" w:color="auto"/>
      </w:divBdr>
      <w:divsChild>
        <w:div w:id="340163857">
          <w:marLeft w:val="0"/>
          <w:marRight w:val="0"/>
          <w:marTop w:val="0"/>
          <w:marBottom w:val="0"/>
          <w:divBdr>
            <w:top w:val="none" w:sz="0" w:space="0" w:color="auto"/>
            <w:left w:val="none" w:sz="0" w:space="0" w:color="auto"/>
            <w:bottom w:val="none" w:sz="0" w:space="0" w:color="auto"/>
            <w:right w:val="none" w:sz="0" w:space="0" w:color="auto"/>
          </w:divBdr>
        </w:div>
      </w:divsChild>
    </w:div>
    <w:div w:id="317808799">
      <w:bodyDiv w:val="1"/>
      <w:marLeft w:val="0"/>
      <w:marRight w:val="0"/>
      <w:marTop w:val="0"/>
      <w:marBottom w:val="0"/>
      <w:divBdr>
        <w:top w:val="none" w:sz="0" w:space="0" w:color="auto"/>
        <w:left w:val="none" w:sz="0" w:space="0" w:color="auto"/>
        <w:bottom w:val="none" w:sz="0" w:space="0" w:color="auto"/>
        <w:right w:val="none" w:sz="0" w:space="0" w:color="auto"/>
      </w:divBdr>
    </w:div>
    <w:div w:id="335806698">
      <w:bodyDiv w:val="1"/>
      <w:marLeft w:val="0"/>
      <w:marRight w:val="0"/>
      <w:marTop w:val="0"/>
      <w:marBottom w:val="0"/>
      <w:divBdr>
        <w:top w:val="none" w:sz="0" w:space="0" w:color="auto"/>
        <w:left w:val="none" w:sz="0" w:space="0" w:color="auto"/>
        <w:bottom w:val="none" w:sz="0" w:space="0" w:color="auto"/>
        <w:right w:val="none" w:sz="0" w:space="0" w:color="auto"/>
      </w:divBdr>
    </w:div>
    <w:div w:id="390814244">
      <w:bodyDiv w:val="1"/>
      <w:marLeft w:val="0"/>
      <w:marRight w:val="0"/>
      <w:marTop w:val="0"/>
      <w:marBottom w:val="0"/>
      <w:divBdr>
        <w:top w:val="none" w:sz="0" w:space="0" w:color="auto"/>
        <w:left w:val="none" w:sz="0" w:space="0" w:color="auto"/>
        <w:bottom w:val="none" w:sz="0" w:space="0" w:color="auto"/>
        <w:right w:val="none" w:sz="0" w:space="0" w:color="auto"/>
      </w:divBdr>
    </w:div>
    <w:div w:id="392776189">
      <w:bodyDiv w:val="1"/>
      <w:marLeft w:val="0"/>
      <w:marRight w:val="0"/>
      <w:marTop w:val="0"/>
      <w:marBottom w:val="0"/>
      <w:divBdr>
        <w:top w:val="none" w:sz="0" w:space="0" w:color="auto"/>
        <w:left w:val="none" w:sz="0" w:space="0" w:color="auto"/>
        <w:bottom w:val="none" w:sz="0" w:space="0" w:color="auto"/>
        <w:right w:val="none" w:sz="0" w:space="0" w:color="auto"/>
      </w:divBdr>
    </w:div>
    <w:div w:id="393623797">
      <w:bodyDiv w:val="1"/>
      <w:marLeft w:val="0"/>
      <w:marRight w:val="0"/>
      <w:marTop w:val="0"/>
      <w:marBottom w:val="0"/>
      <w:divBdr>
        <w:top w:val="none" w:sz="0" w:space="0" w:color="auto"/>
        <w:left w:val="none" w:sz="0" w:space="0" w:color="auto"/>
        <w:bottom w:val="none" w:sz="0" w:space="0" w:color="auto"/>
        <w:right w:val="none" w:sz="0" w:space="0" w:color="auto"/>
      </w:divBdr>
    </w:div>
    <w:div w:id="432241620">
      <w:bodyDiv w:val="1"/>
      <w:marLeft w:val="0"/>
      <w:marRight w:val="0"/>
      <w:marTop w:val="0"/>
      <w:marBottom w:val="0"/>
      <w:divBdr>
        <w:top w:val="none" w:sz="0" w:space="0" w:color="auto"/>
        <w:left w:val="none" w:sz="0" w:space="0" w:color="auto"/>
        <w:bottom w:val="none" w:sz="0" w:space="0" w:color="auto"/>
        <w:right w:val="none" w:sz="0" w:space="0" w:color="auto"/>
      </w:divBdr>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7932276">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559554751">
      <w:bodyDiv w:val="1"/>
      <w:marLeft w:val="0"/>
      <w:marRight w:val="0"/>
      <w:marTop w:val="0"/>
      <w:marBottom w:val="0"/>
      <w:divBdr>
        <w:top w:val="none" w:sz="0" w:space="0" w:color="auto"/>
        <w:left w:val="none" w:sz="0" w:space="0" w:color="auto"/>
        <w:bottom w:val="none" w:sz="0" w:space="0" w:color="auto"/>
        <w:right w:val="none" w:sz="0" w:space="0" w:color="auto"/>
      </w:divBdr>
    </w:div>
    <w:div w:id="586959791">
      <w:bodyDiv w:val="1"/>
      <w:marLeft w:val="0"/>
      <w:marRight w:val="0"/>
      <w:marTop w:val="0"/>
      <w:marBottom w:val="0"/>
      <w:divBdr>
        <w:top w:val="none" w:sz="0" w:space="0" w:color="auto"/>
        <w:left w:val="none" w:sz="0" w:space="0" w:color="auto"/>
        <w:bottom w:val="none" w:sz="0" w:space="0" w:color="auto"/>
        <w:right w:val="none" w:sz="0" w:space="0" w:color="auto"/>
      </w:divBdr>
    </w:div>
    <w:div w:id="615798013">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662464512">
      <w:bodyDiv w:val="1"/>
      <w:marLeft w:val="0"/>
      <w:marRight w:val="0"/>
      <w:marTop w:val="0"/>
      <w:marBottom w:val="0"/>
      <w:divBdr>
        <w:top w:val="none" w:sz="0" w:space="0" w:color="auto"/>
        <w:left w:val="none" w:sz="0" w:space="0" w:color="auto"/>
        <w:bottom w:val="none" w:sz="0" w:space="0" w:color="auto"/>
        <w:right w:val="none" w:sz="0" w:space="0" w:color="auto"/>
      </w:divBdr>
    </w:div>
    <w:div w:id="706296895">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727001340">
      <w:bodyDiv w:val="1"/>
      <w:marLeft w:val="0"/>
      <w:marRight w:val="0"/>
      <w:marTop w:val="0"/>
      <w:marBottom w:val="0"/>
      <w:divBdr>
        <w:top w:val="none" w:sz="0" w:space="0" w:color="auto"/>
        <w:left w:val="none" w:sz="0" w:space="0" w:color="auto"/>
        <w:bottom w:val="none" w:sz="0" w:space="0" w:color="auto"/>
        <w:right w:val="none" w:sz="0" w:space="0" w:color="auto"/>
      </w:divBdr>
    </w:div>
    <w:div w:id="746420586">
      <w:bodyDiv w:val="1"/>
      <w:marLeft w:val="0"/>
      <w:marRight w:val="0"/>
      <w:marTop w:val="0"/>
      <w:marBottom w:val="0"/>
      <w:divBdr>
        <w:top w:val="none" w:sz="0" w:space="0" w:color="auto"/>
        <w:left w:val="none" w:sz="0" w:space="0" w:color="auto"/>
        <w:bottom w:val="none" w:sz="0" w:space="0" w:color="auto"/>
        <w:right w:val="none" w:sz="0" w:space="0" w:color="auto"/>
      </w:divBdr>
    </w:div>
    <w:div w:id="768894797">
      <w:bodyDiv w:val="1"/>
      <w:marLeft w:val="0"/>
      <w:marRight w:val="0"/>
      <w:marTop w:val="0"/>
      <w:marBottom w:val="0"/>
      <w:divBdr>
        <w:top w:val="none" w:sz="0" w:space="0" w:color="auto"/>
        <w:left w:val="none" w:sz="0" w:space="0" w:color="auto"/>
        <w:bottom w:val="none" w:sz="0" w:space="0" w:color="auto"/>
        <w:right w:val="none" w:sz="0" w:space="0" w:color="auto"/>
      </w:divBdr>
    </w:div>
    <w:div w:id="846556721">
      <w:bodyDiv w:val="1"/>
      <w:marLeft w:val="0"/>
      <w:marRight w:val="0"/>
      <w:marTop w:val="0"/>
      <w:marBottom w:val="0"/>
      <w:divBdr>
        <w:top w:val="none" w:sz="0" w:space="0" w:color="auto"/>
        <w:left w:val="none" w:sz="0" w:space="0" w:color="auto"/>
        <w:bottom w:val="none" w:sz="0" w:space="0" w:color="auto"/>
        <w:right w:val="none" w:sz="0" w:space="0" w:color="auto"/>
      </w:divBdr>
    </w:div>
    <w:div w:id="879828752">
      <w:bodyDiv w:val="1"/>
      <w:marLeft w:val="0"/>
      <w:marRight w:val="0"/>
      <w:marTop w:val="0"/>
      <w:marBottom w:val="0"/>
      <w:divBdr>
        <w:top w:val="none" w:sz="0" w:space="0" w:color="auto"/>
        <w:left w:val="none" w:sz="0" w:space="0" w:color="auto"/>
        <w:bottom w:val="none" w:sz="0" w:space="0" w:color="auto"/>
        <w:right w:val="none" w:sz="0" w:space="0" w:color="auto"/>
      </w:divBdr>
    </w:div>
    <w:div w:id="950283107">
      <w:bodyDiv w:val="1"/>
      <w:marLeft w:val="0"/>
      <w:marRight w:val="0"/>
      <w:marTop w:val="0"/>
      <w:marBottom w:val="0"/>
      <w:divBdr>
        <w:top w:val="none" w:sz="0" w:space="0" w:color="auto"/>
        <w:left w:val="none" w:sz="0" w:space="0" w:color="auto"/>
        <w:bottom w:val="none" w:sz="0" w:space="0" w:color="auto"/>
        <w:right w:val="none" w:sz="0" w:space="0" w:color="auto"/>
      </w:divBdr>
    </w:div>
    <w:div w:id="1050614834">
      <w:bodyDiv w:val="1"/>
      <w:marLeft w:val="0"/>
      <w:marRight w:val="0"/>
      <w:marTop w:val="0"/>
      <w:marBottom w:val="0"/>
      <w:divBdr>
        <w:top w:val="none" w:sz="0" w:space="0" w:color="auto"/>
        <w:left w:val="none" w:sz="0" w:space="0" w:color="auto"/>
        <w:bottom w:val="none" w:sz="0" w:space="0" w:color="auto"/>
        <w:right w:val="none" w:sz="0" w:space="0" w:color="auto"/>
      </w:divBdr>
    </w:div>
    <w:div w:id="1083139899">
      <w:bodyDiv w:val="1"/>
      <w:marLeft w:val="0"/>
      <w:marRight w:val="0"/>
      <w:marTop w:val="0"/>
      <w:marBottom w:val="0"/>
      <w:divBdr>
        <w:top w:val="none" w:sz="0" w:space="0" w:color="auto"/>
        <w:left w:val="none" w:sz="0" w:space="0" w:color="auto"/>
        <w:bottom w:val="none" w:sz="0" w:space="0" w:color="auto"/>
        <w:right w:val="none" w:sz="0" w:space="0" w:color="auto"/>
      </w:divBdr>
    </w:div>
    <w:div w:id="1179202724">
      <w:bodyDiv w:val="1"/>
      <w:marLeft w:val="0"/>
      <w:marRight w:val="0"/>
      <w:marTop w:val="0"/>
      <w:marBottom w:val="0"/>
      <w:divBdr>
        <w:top w:val="none" w:sz="0" w:space="0" w:color="auto"/>
        <w:left w:val="none" w:sz="0" w:space="0" w:color="auto"/>
        <w:bottom w:val="none" w:sz="0" w:space="0" w:color="auto"/>
        <w:right w:val="none" w:sz="0" w:space="0" w:color="auto"/>
      </w:divBdr>
    </w:div>
    <w:div w:id="1187252338">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90200">
      <w:bodyDiv w:val="1"/>
      <w:marLeft w:val="0"/>
      <w:marRight w:val="0"/>
      <w:marTop w:val="0"/>
      <w:marBottom w:val="0"/>
      <w:divBdr>
        <w:top w:val="none" w:sz="0" w:space="0" w:color="auto"/>
        <w:left w:val="none" w:sz="0" w:space="0" w:color="auto"/>
        <w:bottom w:val="none" w:sz="0" w:space="0" w:color="auto"/>
        <w:right w:val="none" w:sz="0" w:space="0" w:color="auto"/>
      </w:divBdr>
    </w:div>
    <w:div w:id="1240868058">
      <w:bodyDiv w:val="1"/>
      <w:marLeft w:val="0"/>
      <w:marRight w:val="0"/>
      <w:marTop w:val="0"/>
      <w:marBottom w:val="0"/>
      <w:divBdr>
        <w:top w:val="none" w:sz="0" w:space="0" w:color="auto"/>
        <w:left w:val="none" w:sz="0" w:space="0" w:color="auto"/>
        <w:bottom w:val="none" w:sz="0" w:space="0" w:color="auto"/>
        <w:right w:val="none" w:sz="0" w:space="0" w:color="auto"/>
      </w:divBdr>
    </w:div>
    <w:div w:id="1244611170">
      <w:bodyDiv w:val="1"/>
      <w:marLeft w:val="0"/>
      <w:marRight w:val="0"/>
      <w:marTop w:val="0"/>
      <w:marBottom w:val="0"/>
      <w:divBdr>
        <w:top w:val="none" w:sz="0" w:space="0" w:color="auto"/>
        <w:left w:val="none" w:sz="0" w:space="0" w:color="auto"/>
        <w:bottom w:val="none" w:sz="0" w:space="0" w:color="auto"/>
        <w:right w:val="none" w:sz="0" w:space="0" w:color="auto"/>
      </w:divBdr>
    </w:div>
    <w:div w:id="1579167336">
      <w:bodyDiv w:val="1"/>
      <w:marLeft w:val="0"/>
      <w:marRight w:val="0"/>
      <w:marTop w:val="0"/>
      <w:marBottom w:val="0"/>
      <w:divBdr>
        <w:top w:val="none" w:sz="0" w:space="0" w:color="auto"/>
        <w:left w:val="none" w:sz="0" w:space="0" w:color="auto"/>
        <w:bottom w:val="none" w:sz="0" w:space="0" w:color="auto"/>
        <w:right w:val="none" w:sz="0" w:space="0" w:color="auto"/>
      </w:divBdr>
    </w:div>
    <w:div w:id="1593901996">
      <w:bodyDiv w:val="1"/>
      <w:marLeft w:val="0"/>
      <w:marRight w:val="0"/>
      <w:marTop w:val="0"/>
      <w:marBottom w:val="0"/>
      <w:divBdr>
        <w:top w:val="none" w:sz="0" w:space="0" w:color="auto"/>
        <w:left w:val="none" w:sz="0" w:space="0" w:color="auto"/>
        <w:bottom w:val="none" w:sz="0" w:space="0" w:color="auto"/>
        <w:right w:val="none" w:sz="0" w:space="0" w:color="auto"/>
      </w:divBdr>
    </w:div>
    <w:div w:id="1686708602">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1781492777">
      <w:bodyDiv w:val="1"/>
      <w:marLeft w:val="0"/>
      <w:marRight w:val="0"/>
      <w:marTop w:val="0"/>
      <w:marBottom w:val="0"/>
      <w:divBdr>
        <w:top w:val="none" w:sz="0" w:space="0" w:color="auto"/>
        <w:left w:val="none" w:sz="0" w:space="0" w:color="auto"/>
        <w:bottom w:val="none" w:sz="0" w:space="0" w:color="auto"/>
        <w:right w:val="none" w:sz="0" w:space="0" w:color="auto"/>
      </w:divBdr>
    </w:div>
    <w:div w:id="1828285543">
      <w:bodyDiv w:val="1"/>
      <w:marLeft w:val="0"/>
      <w:marRight w:val="0"/>
      <w:marTop w:val="0"/>
      <w:marBottom w:val="0"/>
      <w:divBdr>
        <w:top w:val="none" w:sz="0" w:space="0" w:color="auto"/>
        <w:left w:val="none" w:sz="0" w:space="0" w:color="auto"/>
        <w:bottom w:val="none" w:sz="0" w:space="0" w:color="auto"/>
        <w:right w:val="none" w:sz="0" w:space="0" w:color="auto"/>
      </w:divBdr>
    </w:div>
    <w:div w:id="1891189779">
      <w:bodyDiv w:val="1"/>
      <w:marLeft w:val="0"/>
      <w:marRight w:val="0"/>
      <w:marTop w:val="0"/>
      <w:marBottom w:val="0"/>
      <w:divBdr>
        <w:top w:val="none" w:sz="0" w:space="0" w:color="auto"/>
        <w:left w:val="none" w:sz="0" w:space="0" w:color="auto"/>
        <w:bottom w:val="none" w:sz="0" w:space="0" w:color="auto"/>
        <w:right w:val="none" w:sz="0" w:space="0" w:color="auto"/>
      </w:divBdr>
    </w:div>
    <w:div w:id="1983847860">
      <w:bodyDiv w:val="1"/>
      <w:marLeft w:val="0"/>
      <w:marRight w:val="0"/>
      <w:marTop w:val="0"/>
      <w:marBottom w:val="0"/>
      <w:divBdr>
        <w:top w:val="none" w:sz="0" w:space="0" w:color="auto"/>
        <w:left w:val="none" w:sz="0" w:space="0" w:color="auto"/>
        <w:bottom w:val="none" w:sz="0" w:space="0" w:color="auto"/>
        <w:right w:val="none" w:sz="0" w:space="0" w:color="auto"/>
      </w:divBdr>
    </w:div>
    <w:div w:id="1997566272">
      <w:bodyDiv w:val="1"/>
      <w:marLeft w:val="0"/>
      <w:marRight w:val="0"/>
      <w:marTop w:val="0"/>
      <w:marBottom w:val="0"/>
      <w:divBdr>
        <w:top w:val="none" w:sz="0" w:space="0" w:color="auto"/>
        <w:left w:val="none" w:sz="0" w:space="0" w:color="auto"/>
        <w:bottom w:val="none" w:sz="0" w:space="0" w:color="auto"/>
        <w:right w:val="none" w:sz="0" w:space="0" w:color="auto"/>
      </w:divBdr>
    </w:div>
    <w:div w:id="213682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ird.health.nsw.gov.au/hird/view_domain_values_list.cfm?ItemID=105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rd.health.nsw.gov.au/hird/view_domain_values_list.cfm?ItemID=130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oh-cherel@health.nsw.gov.a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C5695F-84FE-46B1-BF07-EB98D96F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APDC Data Dictionary</vt:lpstr>
    </vt:vector>
  </TitlesOfParts>
  <Company>Cancer Institute NSW</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 Data Dictionary</dc:title>
  <dc:creator>htard</dc:creator>
  <cp:lastModifiedBy>Samantha Lesic</cp:lastModifiedBy>
  <cp:revision>7</cp:revision>
  <cp:lastPrinted>2018-05-11T02:57:00Z</cp:lastPrinted>
  <dcterms:created xsi:type="dcterms:W3CDTF">2018-05-17T04:55:00Z</dcterms:created>
  <dcterms:modified xsi:type="dcterms:W3CDTF">2021-11-01T00:38:00Z</dcterms:modified>
</cp:coreProperties>
</file>