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3E34" w14:textId="77777777" w:rsidR="00372BA2" w:rsidRDefault="00C41088">
      <w:pPr>
        <w:pStyle w:val="Title"/>
      </w:pPr>
      <w:r>
        <w:t xml:space="preserve">ACT Cause </w:t>
      </w:r>
      <w:proofErr w:type="gramStart"/>
      <w:r>
        <w:t>Of</w:t>
      </w:r>
      <w:proofErr w:type="gramEnd"/>
      <w:r>
        <w:t xml:space="preserve"> Death Unit Record File (CODURF)</w:t>
      </w:r>
    </w:p>
    <w:p w14:paraId="6CAB3E35" w14:textId="77777777" w:rsidR="00372BA2" w:rsidRDefault="00C41088">
      <w:pPr>
        <w:pStyle w:val="Heading1"/>
      </w:pPr>
      <w:r>
        <w:t>Dataset Information</w:t>
      </w:r>
    </w:p>
    <w:tbl>
      <w:tblPr>
        <w:tblW w:w="0" w:type="auto"/>
        <w:jc w:val="center"/>
        <w:tblLayout w:type="fixed"/>
        <w:tblLook w:val="0420" w:firstRow="1" w:lastRow="0" w:firstColumn="0" w:lastColumn="0" w:noHBand="0" w:noVBand="1"/>
      </w:tblPr>
      <w:tblGrid>
        <w:gridCol w:w="1894"/>
        <w:gridCol w:w="1984"/>
        <w:gridCol w:w="9354"/>
      </w:tblGrid>
      <w:tr w:rsidR="00372BA2" w14:paraId="6CAB3E39" w14:textId="77777777">
        <w:trPr>
          <w:tblHeader/>
          <w:jc w:val="center"/>
        </w:trPr>
        <w:tc>
          <w:tcPr>
            <w:tcW w:w="189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6CAB3E36"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Aspect</w:t>
            </w:r>
          </w:p>
        </w:tc>
        <w:tc>
          <w:tcPr>
            <w:tcW w:w="198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6CAB3E37" w14:textId="77777777" w:rsidR="00372BA2" w:rsidRDefault="00372BA2">
            <w:pPr>
              <w:pBdr>
                <w:top w:val="none" w:sz="0" w:space="0" w:color="000000"/>
                <w:left w:val="none" w:sz="0" w:space="0" w:color="000000"/>
                <w:bottom w:val="none" w:sz="0" w:space="0" w:color="000000"/>
                <w:right w:val="none" w:sz="0" w:space="0" w:color="000000"/>
              </w:pBdr>
              <w:spacing w:before="160" w:after="160"/>
              <w:ind w:left="100" w:right="100"/>
            </w:pPr>
          </w:p>
        </w:tc>
        <w:tc>
          <w:tcPr>
            <w:tcW w:w="935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6CAB3E38"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Comment</w:t>
            </w:r>
          </w:p>
        </w:tc>
      </w:tr>
      <w:tr w:rsidR="00372BA2" w14:paraId="6CAB3E3D" w14:textId="77777777">
        <w:trPr>
          <w:jc w:val="center"/>
        </w:trPr>
        <w:tc>
          <w:tcPr>
            <w:tcW w:w="189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3A"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Dataset Description</w:t>
            </w:r>
          </w:p>
        </w:tc>
        <w:tc>
          <w:tcPr>
            <w:tcW w:w="198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3B" w14:textId="77777777" w:rsidR="00372BA2" w:rsidRDefault="00372BA2">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3C"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Two datasets contain mortality information: RBDM death registration data and the COD URF.   The COD URF is based on year of reference of the death, rather than the year of the death. The reference year is the year in which the record was coded.  RBDM death registration data are provided in raw, uncoded format. For this </w:t>
            </w:r>
            <w:proofErr w:type="gramStart"/>
            <w:r>
              <w:rPr>
                <w:rFonts w:eastAsia="Arial" w:cs="Arial"/>
                <w:color w:val="000000"/>
                <w:sz w:val="16"/>
                <w:szCs w:val="16"/>
              </w:rPr>
              <w:t>reason</w:t>
            </w:r>
            <w:proofErr w:type="gramEnd"/>
            <w:r>
              <w:rPr>
                <w:rFonts w:eastAsia="Arial" w:cs="Arial"/>
                <w:color w:val="000000"/>
                <w:sz w:val="16"/>
                <w:szCs w:val="16"/>
              </w:rPr>
              <w:t xml:space="preserve"> only date of birth, age at death, date of death and year of death are available for analysis.  </w:t>
            </w:r>
            <w:r>
              <w:rPr>
                <w:rFonts w:eastAsia="Arial" w:cs="Arial"/>
                <w:color w:val="000000"/>
                <w:sz w:val="16"/>
                <w:szCs w:val="16"/>
              </w:rPr>
              <w:br/>
              <w:t xml:space="preserve"> </w:t>
            </w:r>
            <w:r>
              <w:rPr>
                <w:rFonts w:eastAsia="Arial" w:cs="Arial"/>
                <w:color w:val="000000"/>
                <w:sz w:val="16"/>
                <w:szCs w:val="16"/>
              </w:rPr>
              <w:br/>
              <w:t>Death registrations held by the RBDM contain full personal identifiers and the death registration number. The COD URF does not contain personal identifiers, but it does contain the death registration number which can be linked to the death registration number in the RBDM file. As such, the RBDM death registration dataset holds personally identifiable information, but in an uncoded raw format, while the C</w:t>
            </w:r>
            <w:r>
              <w:rPr>
                <w:rFonts w:eastAsia="Arial" w:cs="Arial"/>
                <w:color w:val="000000"/>
                <w:sz w:val="16"/>
                <w:szCs w:val="16"/>
              </w:rPr>
              <w:t xml:space="preserve">OD URF dataset contains coded cause of death information but without any personal information. ACT COD URF data is supplied by ACT Health in the same manner as other ACT Health administrative data sets. </w:t>
            </w:r>
            <w:r>
              <w:rPr>
                <w:rFonts w:eastAsia="Arial" w:cs="Arial"/>
                <w:color w:val="000000"/>
                <w:sz w:val="16"/>
                <w:szCs w:val="16"/>
              </w:rPr>
              <w:br/>
              <w:t xml:space="preserve"> </w:t>
            </w:r>
            <w:r>
              <w:rPr>
                <w:rFonts w:eastAsia="Arial" w:cs="Arial"/>
                <w:color w:val="000000"/>
                <w:sz w:val="16"/>
                <w:szCs w:val="16"/>
              </w:rPr>
              <w:br/>
              <w:t>All deaths for which a coronial inquiry is not required must be certified as to cause and date by a registered medical practitioner and the certificate registered by the Registrar of Births, Deaths and Marriages (RBDM) in each State and Territory. Deaths that are referred to a coroner are registered by th</w:t>
            </w:r>
            <w:r>
              <w:rPr>
                <w:rFonts w:eastAsia="Arial" w:cs="Arial"/>
                <w:color w:val="000000"/>
                <w:sz w:val="16"/>
                <w:szCs w:val="16"/>
              </w:rPr>
              <w:t xml:space="preserve">e coroner at the conclusion of an inquiry into the circumstances of the death. The vast majority of non-coronial deaths are registered with the relevant RBDM within four weeks of the date of death; however coronial inquiries can take months or even years to conclude. </w:t>
            </w:r>
            <w:r>
              <w:rPr>
                <w:rFonts w:eastAsia="Arial" w:cs="Arial"/>
                <w:color w:val="000000"/>
                <w:sz w:val="16"/>
                <w:szCs w:val="16"/>
              </w:rPr>
              <w:br/>
              <w:t xml:space="preserve"> </w:t>
            </w:r>
            <w:r>
              <w:rPr>
                <w:rFonts w:eastAsia="Arial" w:cs="Arial"/>
                <w:color w:val="000000"/>
                <w:sz w:val="16"/>
                <w:szCs w:val="16"/>
              </w:rPr>
              <w:br/>
              <w:t>Details of all registered deaths are forwarded to the Australian Bureau of Statistics (ABS). The ABS checks, codes and returns the information to the Australian Coordinating Registry.</w:t>
            </w:r>
          </w:p>
        </w:tc>
      </w:tr>
      <w:tr w:rsidR="00372BA2" w14:paraId="6CAB3E41" w14:textId="77777777">
        <w:trPr>
          <w:jc w:val="center"/>
        </w:trPr>
        <w:tc>
          <w:tcPr>
            <w:tcW w:w="189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3E"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 Quality Statement</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3F"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Lag in deaths data</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40"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COD URF data are available later by year of death because of the longer the time needed to clean and assign a cause of death code to CODURF records.  </w:t>
            </w:r>
            <w:r>
              <w:rPr>
                <w:rFonts w:eastAsia="Arial" w:cs="Arial"/>
                <w:color w:val="000000"/>
                <w:sz w:val="16"/>
                <w:szCs w:val="16"/>
              </w:rPr>
              <w:br/>
              <w:t>Death records available for linkage include deaths occurring in the ACT and do not include deaths of ACT residents who die interstate. The Australian Institute of Health and Welfare holds the National Death Index, which can be used for research studies that require linkage of death records for ACT residents who die interstate.</w:t>
            </w:r>
          </w:p>
        </w:tc>
      </w:tr>
      <w:tr w:rsidR="00372BA2" w14:paraId="6CAB3E45"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42" w14:textId="77777777" w:rsidR="00372BA2" w:rsidRDefault="00372BA2">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43"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Coding</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44"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Death data is coded according to the ICD-10 International Version rather than the Australian Modification ICD-10-AM used in Australian hospitals. When there is an external cause of injury or poisoning, the external cause is provided as the underlying cause of death, not the injury. </w:t>
            </w:r>
            <w:r>
              <w:rPr>
                <w:rFonts w:eastAsia="Arial" w:cs="Arial"/>
                <w:color w:val="000000"/>
                <w:sz w:val="16"/>
                <w:szCs w:val="16"/>
              </w:rPr>
              <w:br/>
            </w:r>
          </w:p>
        </w:tc>
      </w:tr>
      <w:tr w:rsidR="00372BA2" w14:paraId="6CAB3E49"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46" w14:textId="77777777" w:rsidR="00372BA2" w:rsidRDefault="00372BA2">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47"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Date of birth accuracy</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48"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The date of birth on the death registration is sometimes incorrect as it is reported by relatives to the funeral director at the time when the funeral is being arranged. The funeral director reports the personal details of the deceased to the RBDM. Particularly </w:t>
            </w:r>
            <w:r>
              <w:rPr>
                <w:rFonts w:eastAsia="Arial" w:cs="Arial"/>
                <w:color w:val="000000"/>
                <w:sz w:val="16"/>
                <w:szCs w:val="16"/>
              </w:rPr>
              <w:lastRenderedPageBreak/>
              <w:t xml:space="preserve">for older family members who have died, relatives generally report the </w:t>
            </w:r>
            <w:proofErr w:type="gramStart"/>
            <w:r>
              <w:rPr>
                <w:rFonts w:eastAsia="Arial" w:cs="Arial"/>
                <w:color w:val="000000"/>
                <w:sz w:val="16"/>
                <w:szCs w:val="16"/>
              </w:rPr>
              <w:t>birth day</w:t>
            </w:r>
            <w:proofErr w:type="gramEnd"/>
            <w:r>
              <w:rPr>
                <w:rFonts w:eastAsia="Arial" w:cs="Arial"/>
                <w:color w:val="000000"/>
                <w:sz w:val="16"/>
                <w:szCs w:val="16"/>
              </w:rPr>
              <w:t xml:space="preserve"> (day and month) correctly, but may inadvertently give an incorrect year of birth. For this </w:t>
            </w:r>
            <w:proofErr w:type="gramStart"/>
            <w:r>
              <w:rPr>
                <w:rFonts w:eastAsia="Arial" w:cs="Arial"/>
                <w:color w:val="000000"/>
                <w:sz w:val="16"/>
                <w:szCs w:val="16"/>
              </w:rPr>
              <w:t>reason</w:t>
            </w:r>
            <w:proofErr w:type="gramEnd"/>
            <w:r>
              <w:rPr>
                <w:rFonts w:eastAsia="Arial" w:cs="Arial"/>
                <w:color w:val="000000"/>
                <w:sz w:val="16"/>
                <w:szCs w:val="16"/>
              </w:rPr>
              <w:t xml:space="preserve"> age at death may be preferable for analysis purposes.</w:t>
            </w:r>
          </w:p>
        </w:tc>
      </w:tr>
      <w:tr w:rsidR="00372BA2" w14:paraId="6CAB3E4D" w14:textId="77777777">
        <w:trPr>
          <w:jc w:val="center"/>
        </w:trPr>
        <w:tc>
          <w:tcPr>
            <w:tcW w:w="189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6CAB3E4A"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lastRenderedPageBreak/>
              <w:t>Links &amp; Resources</w:t>
            </w:r>
          </w:p>
        </w:tc>
        <w:tc>
          <w:tcPr>
            <w:tcW w:w="198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6CAB3E4B"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AIHW</w:t>
            </w:r>
          </w:p>
        </w:tc>
        <w:tc>
          <w:tcPr>
            <w:tcW w:w="935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6CAB3E4C" w14:textId="77777777" w:rsidR="00372BA2" w:rsidRDefault="00C41088">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https://www.aihw.gov.au/about-our-data/our-data-collections/national-mortality-database/deaths-data</w:t>
            </w:r>
          </w:p>
        </w:tc>
      </w:tr>
    </w:tbl>
    <w:p w14:paraId="6CAB3E4E" w14:textId="77777777" w:rsidR="00372BA2" w:rsidRDefault="00C41088">
      <w:r>
        <w:br w:type="page"/>
      </w:r>
    </w:p>
    <w:p w14:paraId="6CAB3E4F" w14:textId="77777777" w:rsidR="00372BA2" w:rsidRDefault="00C41088">
      <w:pPr>
        <w:pStyle w:val="Heading1"/>
      </w:pPr>
      <w:r>
        <w:lastRenderedPageBreak/>
        <w:t>Variable Information</w:t>
      </w:r>
    </w:p>
    <w:p w14:paraId="6CAB3E50" w14:textId="77777777" w:rsidR="00372BA2" w:rsidRDefault="00C41088">
      <w:pPr>
        <w:pStyle w:val="Heading2"/>
      </w:pPr>
      <w:r>
        <w:t>Category: Demography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372BA2" w14:paraId="6CAB3E57"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51" w14:textId="77777777" w:rsidR="00372BA2" w:rsidRDefault="00372BA2">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52"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53"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54"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55"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56"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372BA2" w14:paraId="6CAB3E5E"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5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F36C23"/>
                <w:sz w:val="20"/>
                <w:szCs w:val="20"/>
              </w:rPr>
              <w:t>◆</w:t>
            </w: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59"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ATSIStatus</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5A"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Aboriginal &amp; Torres </w:t>
            </w:r>
            <w:proofErr w:type="spellStart"/>
            <w:r>
              <w:rPr>
                <w:rFonts w:eastAsia="Arial" w:cs="Arial"/>
                <w:color w:val="000000"/>
                <w:sz w:val="16"/>
                <w:szCs w:val="16"/>
              </w:rPr>
              <w:t>Starit</w:t>
            </w:r>
            <w:proofErr w:type="spellEnd"/>
            <w:r>
              <w:rPr>
                <w:rFonts w:eastAsia="Arial" w:cs="Arial"/>
                <w:color w:val="000000"/>
                <w:sz w:val="16"/>
                <w:szCs w:val="16"/>
              </w:rPr>
              <w:t xml:space="preserve"> Islander Status</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5B"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5C"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5D"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Aboriginal origin</w:t>
            </w:r>
          </w:p>
        </w:tc>
      </w:tr>
      <w:tr w:rsidR="00372BA2" w14:paraId="6CAB3E6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5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0"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1"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3"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4"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Torres Strait Islander (TSI) origin</w:t>
            </w:r>
          </w:p>
        </w:tc>
      </w:tr>
      <w:tr w:rsidR="00372BA2" w14:paraId="6CAB3E6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6"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7"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8"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9"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A"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B"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Both Aboriginal and TSI origin</w:t>
            </w:r>
          </w:p>
        </w:tc>
      </w:tr>
      <w:tr w:rsidR="00372BA2" w14:paraId="6CAB3E7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E"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6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0"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2"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Neither Aboriginal no TSI origin</w:t>
            </w:r>
          </w:p>
        </w:tc>
      </w:tr>
      <w:tr w:rsidR="00372BA2" w14:paraId="6CAB3E7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5"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6"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7"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9"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stated/inadequately described</w:t>
            </w:r>
          </w:p>
        </w:tc>
      </w:tr>
      <w:tr w:rsidR="00372BA2" w14:paraId="6CAB3E81"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C"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AgeDays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D"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at death (in days)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E"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7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0"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E8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3"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AgeMins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5"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6"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7"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E8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9"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A"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AgeMths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B"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at death (in months)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C"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8E"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E9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0"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AgeYrs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2"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at death (in years)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3"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5"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E9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7"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BirthPlace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9"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Place of birth (supplied codes)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A"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EA4"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E"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9F"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SACC</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0"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Country of birth SACC code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EA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5"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6"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7"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 of deceased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9"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A"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Male</w:t>
            </w:r>
          </w:p>
        </w:tc>
      </w:tr>
      <w:tr w:rsidR="00372BA2" w14:paraId="6CAB3EB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E"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A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0"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Female</w:t>
            </w:r>
          </w:p>
        </w:tc>
      </w:tr>
      <w:tr w:rsidR="00372BA2" w14:paraId="6CAB3EB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5"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6"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7"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Indeterminate</w:t>
            </w:r>
          </w:p>
        </w:tc>
      </w:tr>
      <w:tr w:rsidR="00372BA2" w14:paraId="6CAB3EC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A"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E"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BF"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Persons</w:t>
            </w:r>
          </w:p>
        </w:tc>
      </w:tr>
      <w:tr w:rsidR="00372BA2" w14:paraId="6CAB3EC7"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EC1"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EC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EC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EC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EC5"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EC6"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372BA2" w14:paraId="6CAB3ECA"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CAB3EC8" w14:textId="77777777" w:rsidR="00372BA2" w:rsidRDefault="00C41088">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F36C23"/>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CAB3EC9" w14:textId="77777777" w:rsidR="00372BA2" w:rsidRDefault="00C41088">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Availability may be subject to AHMRC approval</w:t>
            </w:r>
          </w:p>
        </w:tc>
      </w:tr>
    </w:tbl>
    <w:p w14:paraId="6CAB3ECB" w14:textId="77777777" w:rsidR="00372BA2" w:rsidRDefault="00C41088">
      <w:pPr>
        <w:pStyle w:val="Heading2"/>
      </w:pPr>
      <w:r>
        <w:lastRenderedPageBreak/>
        <w:t>Category: Death details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372BA2" w14:paraId="6CAB3ED2"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CC" w14:textId="77777777" w:rsidR="00372BA2" w:rsidRDefault="00372BA2">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CD"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CE"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CF"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D0"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ED1"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372BA2" w14:paraId="6CAB3ED9"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4"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CaseStatus</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5"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Status of case</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6"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7"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Open</w:t>
            </w:r>
          </w:p>
        </w:tc>
      </w:tr>
      <w:tr w:rsidR="00372BA2" w14:paraId="6CAB3EE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A"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E"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DF"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Closed</w:t>
            </w:r>
          </w:p>
        </w:tc>
      </w:tr>
      <w:tr w:rsidR="00372BA2" w14:paraId="6CAB3EE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1"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5"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6"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Dr Certified</w:t>
            </w:r>
          </w:p>
        </w:tc>
      </w:tr>
      <w:tr w:rsidR="00372BA2" w14:paraId="6CAB3EE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8"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9"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A"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C"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D"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Coroner Certified (unmatched)</w:t>
            </w:r>
          </w:p>
        </w:tc>
      </w:tr>
      <w:tr w:rsidR="00372BA2" w14:paraId="6CAB3EF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E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0"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DataSetStatus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Dataset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2"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3"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4"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Final</w:t>
            </w:r>
          </w:p>
        </w:tc>
      </w:tr>
      <w:tr w:rsidR="00372BA2" w14:paraId="6CAB3EF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6"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7"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8"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9"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A"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B"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Projected</w:t>
            </w:r>
          </w:p>
        </w:tc>
      </w:tr>
      <w:tr w:rsidR="00372BA2" w14:paraId="6CAB3F0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E"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EF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0"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2"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Preliminary</w:t>
            </w:r>
          </w:p>
        </w:tc>
      </w:tr>
      <w:tr w:rsidR="00372BA2" w14:paraId="6CAB3F0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5"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6"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7"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9"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Revised</w:t>
            </w:r>
          </w:p>
        </w:tc>
      </w:tr>
      <w:tr w:rsidR="00372BA2" w14:paraId="6CAB3F11"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C"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PeriodResidence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D"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Period of residence in Australia</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E"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0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0"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F1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3"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PlaceOccurrence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4"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Place of Occurrence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5"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6"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7"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Home</w:t>
            </w:r>
          </w:p>
        </w:tc>
      </w:tr>
      <w:tr w:rsidR="00372BA2" w14:paraId="6CAB3F1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9"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A"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D"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1E"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Residential Institution</w:t>
            </w:r>
          </w:p>
        </w:tc>
      </w:tr>
      <w:tr w:rsidR="00372BA2" w14:paraId="6CAB3F2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0"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1"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4"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5"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School</w:t>
            </w:r>
          </w:p>
        </w:tc>
      </w:tr>
      <w:tr w:rsidR="00372BA2" w14:paraId="6CAB3F2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7"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8"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9"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A"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B"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C"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Sports and athletics area</w:t>
            </w:r>
          </w:p>
        </w:tc>
      </w:tr>
      <w:tr w:rsidR="00372BA2" w14:paraId="6CAB3F3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E"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2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0"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1"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2"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3"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Street and highway</w:t>
            </w:r>
          </w:p>
        </w:tc>
      </w:tr>
      <w:tr w:rsidR="00372BA2" w14:paraId="6CAB3F3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5"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6"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7"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8"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9"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A"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Trade and services</w:t>
            </w:r>
          </w:p>
        </w:tc>
      </w:tr>
      <w:tr w:rsidR="00372BA2" w14:paraId="6CAB3F4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E"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3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0"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Industrial and construction area</w:t>
            </w:r>
          </w:p>
        </w:tc>
      </w:tr>
      <w:tr w:rsidR="00372BA2" w14:paraId="6CAB3F4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5"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6"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7"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Farm</w:t>
            </w:r>
          </w:p>
        </w:tc>
      </w:tr>
      <w:tr w:rsidR="00372BA2" w14:paraId="6CAB3F5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A"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E"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4F"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specified places</w:t>
            </w:r>
          </w:p>
        </w:tc>
      </w:tr>
      <w:tr w:rsidR="00372BA2" w14:paraId="6CAB3F5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1"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5"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6"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Unspecified place</w:t>
            </w:r>
          </w:p>
        </w:tc>
      </w:tr>
      <w:tr w:rsidR="00372BA2" w14:paraId="6CAB3F5E"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8"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9"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RACS01-20</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A"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Contributing causes of death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B"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5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F65"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5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60"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UCOD</w:t>
            </w:r>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6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Underlying cause of death</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62"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6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6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bl>
    <w:p w14:paraId="6CAB3F66" w14:textId="77777777" w:rsidR="00372BA2" w:rsidRDefault="00C41088">
      <w:pPr>
        <w:pStyle w:val="Heading2"/>
      </w:pPr>
      <w:r>
        <w:lastRenderedPageBreak/>
        <w:t>Category: Dates &amp; times (events)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372BA2" w14:paraId="6CAB3F6D"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67" w14:textId="77777777" w:rsidR="00372BA2" w:rsidRDefault="00372BA2">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68"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69"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6A"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6B"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6C"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372BA2" w14:paraId="6CAB3F74"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6E"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6F"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DeathDate</w:t>
            </w:r>
            <w:proofErr w:type="spellEnd"/>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70"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death event</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7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7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7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F7B"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75"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76"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RegYear</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77"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Year of death registration</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7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79"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7A"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F7E"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CAB3F7C" w14:textId="77777777" w:rsidR="00372BA2" w:rsidRDefault="00C41088">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CAB3F7D" w14:textId="77777777" w:rsidR="00372BA2" w:rsidRDefault="00C41088">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6CAB3F7F" w14:textId="77777777" w:rsidR="00372BA2" w:rsidRDefault="00C41088">
      <w:pPr>
        <w:pStyle w:val="Heading2"/>
      </w:pPr>
      <w:r>
        <w:t>Category: Geography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372BA2" w14:paraId="6CAB3F86"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80" w14:textId="77777777" w:rsidR="00372BA2" w:rsidRDefault="00372BA2">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81"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82"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83"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84"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6CAB3F85" w14:textId="77777777" w:rsidR="00372BA2" w:rsidRDefault="00C41088">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372BA2" w14:paraId="6CAB3F8D"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87"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8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SA2Code2016</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89"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SA2 Code (2016 ASGS) of residence</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8A"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8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8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F94"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8E"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8F"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URes9DigitSLA</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0"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SLA of residence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F9B"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5"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6"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URes9SA2</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7"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9"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A"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r>
      <w:tr w:rsidR="00372BA2" w14:paraId="6CAB3FA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D"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UResState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E"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State/Territory of residence code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9F"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0"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NSW</w:t>
            </w:r>
          </w:p>
        </w:tc>
      </w:tr>
      <w:tr w:rsidR="00372BA2" w14:paraId="6CAB3FA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5"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6"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7"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8"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VIC</w:t>
            </w:r>
          </w:p>
        </w:tc>
      </w:tr>
      <w:tr w:rsidR="00372BA2" w14:paraId="6CAB3FB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A"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C"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E"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AF"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QLD</w:t>
            </w:r>
          </w:p>
        </w:tc>
      </w:tr>
      <w:tr w:rsidR="00372BA2" w14:paraId="6CAB3FB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1"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3"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4"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5"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6"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SA</w:t>
            </w:r>
          </w:p>
        </w:tc>
      </w:tr>
      <w:tr w:rsidR="00372BA2" w14:paraId="6CAB3FB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8"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9"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A"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B"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C"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D"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WA</w:t>
            </w:r>
          </w:p>
        </w:tc>
      </w:tr>
      <w:tr w:rsidR="00372BA2" w14:paraId="6CAB3FC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B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0"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1"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2"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3"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4"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TAS</w:t>
            </w:r>
          </w:p>
        </w:tc>
      </w:tr>
      <w:tr w:rsidR="00372BA2" w14:paraId="6CAB3FC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6"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7"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8"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9"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A"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6CAB3FCB"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NT</w:t>
            </w:r>
          </w:p>
        </w:tc>
      </w:tr>
      <w:tr w:rsidR="00372BA2" w14:paraId="6CAB3FD3"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CD"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CE"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CF"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D0" w14:textId="77777777" w:rsidR="00372BA2" w:rsidRDefault="00372BA2">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D1"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AB3FD2" w14:textId="77777777" w:rsidR="00372BA2" w:rsidRDefault="00C41088">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ACT</w:t>
            </w:r>
          </w:p>
        </w:tc>
      </w:tr>
      <w:tr w:rsidR="00372BA2" w14:paraId="6CAB3FD6"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CAB3FD4" w14:textId="77777777" w:rsidR="00372BA2" w:rsidRDefault="00C41088">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CAB3FD5" w14:textId="77777777" w:rsidR="00372BA2" w:rsidRDefault="00C41088">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6CAB3FD7" w14:textId="77777777" w:rsidR="00C41088" w:rsidRPr="00B067FD" w:rsidRDefault="00C41088">
      <w:pPr>
        <w:rPr>
          <w:rFonts w:eastAsiaTheme="majorEastAsia" w:cs="Arial"/>
          <w:b/>
          <w:bCs/>
          <w:color w:val="002677" w:themeColor="accent1"/>
        </w:rPr>
      </w:pPr>
      <w:r w:rsidRPr="00B067FD">
        <w:br w:type="page"/>
      </w:r>
    </w:p>
    <w:p w14:paraId="6CAB3FD8" w14:textId="77777777" w:rsidR="00C41088" w:rsidRPr="00B067FD" w:rsidRDefault="00C41088" w:rsidP="00FE3396">
      <w:pPr>
        <w:pStyle w:val="Heading1"/>
      </w:pPr>
      <w:r w:rsidRPr="00B067FD">
        <w:lastRenderedPageBreak/>
        <w:t>General Enquiries</w:t>
      </w:r>
    </w:p>
    <w:p w14:paraId="6CAB3FD9" w14:textId="77777777" w:rsidR="00C41088" w:rsidRPr="00B067FD" w:rsidRDefault="00C41088" w:rsidP="00F84456">
      <w:pPr>
        <w:pStyle w:val="Compact"/>
        <w:rPr>
          <w:b/>
          <w:bCs/>
          <w:sz w:val="18"/>
          <w:szCs w:val="18"/>
        </w:rPr>
      </w:pPr>
      <w:r w:rsidRPr="00B067FD">
        <w:rPr>
          <w:b/>
          <w:bCs/>
          <w:sz w:val="18"/>
          <w:szCs w:val="18"/>
        </w:rPr>
        <w:t xml:space="preserve">Population Health Informatics </w:t>
      </w:r>
    </w:p>
    <w:p w14:paraId="6CAB3FDA" w14:textId="77777777" w:rsidR="00C41088" w:rsidRPr="00B067FD" w:rsidRDefault="00C41088" w:rsidP="00F84456">
      <w:pPr>
        <w:pStyle w:val="Compact"/>
        <w:rPr>
          <w:sz w:val="18"/>
          <w:szCs w:val="18"/>
        </w:rPr>
      </w:pPr>
      <w:r w:rsidRPr="00B067FD">
        <w:rPr>
          <w:sz w:val="18"/>
          <w:szCs w:val="18"/>
        </w:rPr>
        <w:t>Epidemiology Section</w:t>
      </w:r>
    </w:p>
    <w:p w14:paraId="6CAB3FDB" w14:textId="77777777" w:rsidR="00C41088" w:rsidRPr="00B067FD" w:rsidRDefault="00C41088" w:rsidP="00F84456">
      <w:pPr>
        <w:pStyle w:val="Compact"/>
        <w:rPr>
          <w:sz w:val="18"/>
          <w:szCs w:val="18"/>
        </w:rPr>
      </w:pPr>
      <w:r w:rsidRPr="00B067FD">
        <w:rPr>
          <w:sz w:val="18"/>
          <w:szCs w:val="18"/>
        </w:rPr>
        <w:t>Data Analytics Branch</w:t>
      </w:r>
    </w:p>
    <w:p w14:paraId="6CAB3FDC" w14:textId="77777777" w:rsidR="00C41088" w:rsidRPr="00B067FD" w:rsidRDefault="00C41088" w:rsidP="00F84456">
      <w:pPr>
        <w:pStyle w:val="Compact"/>
        <w:rPr>
          <w:sz w:val="18"/>
          <w:szCs w:val="18"/>
        </w:rPr>
      </w:pPr>
      <w:r w:rsidRPr="00B067FD">
        <w:rPr>
          <w:sz w:val="18"/>
          <w:szCs w:val="18"/>
        </w:rPr>
        <w:t>ACT Health Directorate</w:t>
      </w:r>
    </w:p>
    <w:p w14:paraId="6CAB3FDD" w14:textId="77777777" w:rsidR="00C41088" w:rsidRPr="00B067FD" w:rsidRDefault="00C41088" w:rsidP="00F84456">
      <w:pPr>
        <w:pStyle w:val="Compact"/>
        <w:rPr>
          <w:sz w:val="18"/>
          <w:szCs w:val="18"/>
        </w:rPr>
      </w:pPr>
    </w:p>
    <w:tbl>
      <w:tblPr>
        <w:tblW w:w="0" w:type="auto"/>
        <w:tblCellMar>
          <w:left w:w="0" w:type="dxa"/>
          <w:right w:w="0" w:type="dxa"/>
        </w:tblCellMar>
        <w:tblLook w:val="0600" w:firstRow="0" w:lastRow="0" w:firstColumn="0" w:lastColumn="0" w:noHBand="1" w:noVBand="1"/>
      </w:tblPr>
      <w:tblGrid>
        <w:gridCol w:w="1985"/>
        <w:gridCol w:w="11247"/>
      </w:tblGrid>
      <w:tr w:rsidR="00FE3396" w:rsidRPr="00B067FD" w14:paraId="6CAB3FE0" w14:textId="77777777" w:rsidTr="006A2B46">
        <w:tc>
          <w:tcPr>
            <w:tcW w:w="1985" w:type="dxa"/>
            <w:shd w:val="clear" w:color="auto" w:fill="auto"/>
          </w:tcPr>
          <w:p w14:paraId="6CAB3FDE" w14:textId="77777777" w:rsidR="00C41088" w:rsidRPr="00B067FD" w:rsidRDefault="00C41088" w:rsidP="00361F22">
            <w:pPr>
              <w:pStyle w:val="Compact"/>
              <w:rPr>
                <w:sz w:val="18"/>
                <w:szCs w:val="18"/>
              </w:rPr>
            </w:pPr>
            <w:r w:rsidRPr="00B067FD">
              <w:rPr>
                <w:b/>
                <w:bCs/>
                <w:sz w:val="18"/>
                <w:szCs w:val="18"/>
              </w:rPr>
              <w:t xml:space="preserve">Email: </w:t>
            </w:r>
          </w:p>
        </w:tc>
        <w:tc>
          <w:tcPr>
            <w:tcW w:w="11247" w:type="dxa"/>
            <w:shd w:val="clear" w:color="auto" w:fill="auto"/>
          </w:tcPr>
          <w:p w14:paraId="6CAB3FDF" w14:textId="77777777" w:rsidR="00C41088" w:rsidRPr="00B067FD" w:rsidRDefault="00C41088" w:rsidP="00361F22">
            <w:pPr>
              <w:pStyle w:val="Compact"/>
              <w:rPr>
                <w:b/>
                <w:bCs/>
                <w:sz w:val="18"/>
                <w:szCs w:val="18"/>
              </w:rPr>
            </w:pPr>
            <w:hyperlink r:id="rId11" w:history="1">
              <w:r w:rsidRPr="00B067FD">
                <w:rPr>
                  <w:rStyle w:val="Hyperlink"/>
                  <w:sz w:val="18"/>
                  <w:szCs w:val="18"/>
                </w:rPr>
                <w:t>healthinfo@act.gov.au</w:t>
              </w:r>
            </w:hyperlink>
          </w:p>
        </w:tc>
      </w:tr>
      <w:tr w:rsidR="00FE3396" w:rsidRPr="00B067FD" w14:paraId="6CAB3FE3" w14:textId="77777777" w:rsidTr="006A2B46">
        <w:tc>
          <w:tcPr>
            <w:tcW w:w="1985" w:type="dxa"/>
            <w:shd w:val="clear" w:color="auto" w:fill="auto"/>
          </w:tcPr>
          <w:p w14:paraId="6CAB3FE1" w14:textId="77777777" w:rsidR="00C41088" w:rsidRPr="00B067FD" w:rsidRDefault="00C41088" w:rsidP="00361F22">
            <w:pPr>
              <w:pStyle w:val="Compact"/>
              <w:rPr>
                <w:sz w:val="18"/>
                <w:szCs w:val="18"/>
              </w:rPr>
            </w:pPr>
            <w:r w:rsidRPr="00B067FD">
              <w:rPr>
                <w:b/>
                <w:bCs/>
                <w:sz w:val="18"/>
                <w:szCs w:val="18"/>
              </w:rPr>
              <w:t xml:space="preserve">Linkage request </w:t>
            </w:r>
            <w:r w:rsidRPr="00B067FD">
              <w:rPr>
                <w:b/>
                <w:bCs/>
                <w:sz w:val="18"/>
                <w:szCs w:val="18"/>
              </w:rPr>
              <w:t>submi</w:t>
            </w:r>
            <w:r w:rsidRPr="00B067FD">
              <w:rPr>
                <w:b/>
                <w:bCs/>
                <w:sz w:val="18"/>
                <w:szCs w:val="18"/>
              </w:rPr>
              <w:t>ssion portal</w:t>
            </w:r>
            <w:r w:rsidRPr="00B067FD">
              <w:rPr>
                <w:b/>
                <w:bCs/>
                <w:sz w:val="18"/>
                <w:szCs w:val="18"/>
              </w:rPr>
              <w:t>:</w:t>
            </w:r>
            <w:r w:rsidRPr="00B067FD">
              <w:rPr>
                <w:sz w:val="18"/>
                <w:szCs w:val="18"/>
              </w:rPr>
              <w:t xml:space="preserve"> </w:t>
            </w:r>
          </w:p>
        </w:tc>
        <w:tc>
          <w:tcPr>
            <w:tcW w:w="11247" w:type="dxa"/>
            <w:shd w:val="clear" w:color="auto" w:fill="auto"/>
          </w:tcPr>
          <w:p w14:paraId="6CAB3FE2" w14:textId="77777777" w:rsidR="00C41088" w:rsidRPr="00B067FD" w:rsidRDefault="00C41088" w:rsidP="00361F22">
            <w:pPr>
              <w:pStyle w:val="Compact"/>
              <w:rPr>
                <w:b/>
                <w:bCs/>
                <w:sz w:val="18"/>
                <w:szCs w:val="18"/>
              </w:rPr>
            </w:pPr>
            <w:hyperlink r:id="rId12" w:history="1">
              <w:r w:rsidRPr="00B067FD">
                <w:rPr>
                  <w:rStyle w:val="Hyperlink"/>
                  <w:sz w:val="18"/>
                  <w:szCs w:val="18"/>
                </w:rPr>
                <w:t>https://act-health.atlassian.net/servicedesk/customer/portal/20</w:t>
              </w:r>
            </w:hyperlink>
          </w:p>
        </w:tc>
      </w:tr>
    </w:tbl>
    <w:p w14:paraId="6CAB3FE4" w14:textId="77777777" w:rsidR="00C41088" w:rsidRPr="00B067FD" w:rsidRDefault="00C41088" w:rsidP="00A921FF">
      <w:pPr>
        <w:pStyle w:val="Heading1"/>
        <w:rPr>
          <w:rFonts w:ascii="Calibri" w:hAnsi="Calibri"/>
        </w:rPr>
      </w:pPr>
      <w:r w:rsidRPr="00B067FD">
        <w:t>Acknowledgment of Country</w:t>
      </w:r>
    </w:p>
    <w:p w14:paraId="6CAB3FE5"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r w:rsidRPr="00B067FD">
        <w:rPr>
          <w:rFonts w:cs="Arial"/>
          <w:color w:val="323232"/>
          <w:sz w:val="18"/>
          <w:szCs w:val="18"/>
        </w:rPr>
        <w:t xml:space="preserve">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 </w:t>
      </w:r>
    </w:p>
    <w:p w14:paraId="6CAB3FE6"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p>
    <w:p w14:paraId="6CAB3FE7"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p>
    <w:p w14:paraId="6CAB3FE8"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p>
    <w:p w14:paraId="6CAB3FE9"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p>
    <w:p w14:paraId="6CAB3FEA"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p>
    <w:p w14:paraId="6CAB3FEB"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p>
    <w:p w14:paraId="6CAB3FEC"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p>
    <w:p w14:paraId="6CAB3FED"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p>
    <w:p w14:paraId="6CAB3FEE"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p>
    <w:p w14:paraId="6CAB3FEF" w14:textId="77777777" w:rsidR="00C41088" w:rsidRPr="00B067FD" w:rsidRDefault="00C41088" w:rsidP="002F57F0">
      <w:pPr>
        <w:suppressAutoHyphens/>
        <w:autoSpaceDE w:val="0"/>
        <w:autoSpaceDN w:val="0"/>
        <w:adjustRightInd w:val="0"/>
        <w:spacing w:after="60"/>
        <w:textAlignment w:val="center"/>
        <w:rPr>
          <w:rFonts w:cs="Arial"/>
          <w:color w:val="323232"/>
          <w:sz w:val="18"/>
          <w:szCs w:val="18"/>
        </w:rPr>
      </w:pPr>
    </w:p>
    <w:tbl>
      <w:tblPr>
        <w:tblStyle w:val="AccessibilityTable"/>
        <w:tblW w:w="5000" w:type="pct"/>
        <w:tblInd w:w="0" w:type="dxa"/>
        <w:tblLayout w:type="fixed"/>
        <w:tblCellMar>
          <w:top w:w="28" w:type="dxa"/>
          <w:bottom w:w="28" w:type="dxa"/>
        </w:tblCellMar>
        <w:tblLook w:val="04A0" w:firstRow="1" w:lastRow="0" w:firstColumn="1" w:lastColumn="0" w:noHBand="0" w:noVBand="1"/>
      </w:tblPr>
      <w:tblGrid>
        <w:gridCol w:w="13232"/>
      </w:tblGrid>
      <w:tr w:rsidR="002F57F0" w:rsidRPr="00B067FD" w14:paraId="6CAB3FF1" w14:textId="77777777" w:rsidTr="00B7238C">
        <w:trPr>
          <w:cnfStyle w:val="100000000000" w:firstRow="1" w:lastRow="0" w:firstColumn="0" w:lastColumn="0" w:oddVBand="0" w:evenVBand="0" w:oddHBand="0" w:evenHBand="0" w:firstRowFirstColumn="0" w:firstRowLastColumn="0" w:lastRowFirstColumn="0" w:lastRowLastColumn="0"/>
          <w:trHeight w:val="308"/>
        </w:trPr>
        <w:tc>
          <w:tcPr>
            <w:tcW w:w="9115" w:type="dxa"/>
            <w:shd w:val="clear" w:color="auto" w:fill="D9D9D9" w:themeFill="background1" w:themeFillShade="D9"/>
            <w:hideMark/>
          </w:tcPr>
          <w:p w14:paraId="6CAB3FF0" w14:textId="77777777" w:rsidR="00C41088" w:rsidRPr="00B067FD" w:rsidRDefault="00C41088">
            <w:pPr>
              <w:spacing w:before="60" w:after="60"/>
              <w:rPr>
                <w:rStyle w:val="AccessibilityLgtext"/>
                <w:color w:val="191919"/>
              </w:rPr>
            </w:pPr>
            <w:r w:rsidRPr="00B067FD">
              <w:rPr>
                <w:rStyle w:val="AccessibilityLgtext"/>
              </w:rPr>
              <w:t>Accessibility</w:t>
            </w:r>
          </w:p>
        </w:tc>
      </w:tr>
      <w:tr w:rsidR="002F57F0" w:rsidRPr="00B067FD" w14:paraId="6CAB3FF3" w14:textId="77777777" w:rsidTr="00B7238C">
        <w:tc>
          <w:tcPr>
            <w:tcW w:w="9115" w:type="dxa"/>
            <w:hideMark/>
          </w:tcPr>
          <w:p w14:paraId="6CAB3FF2" w14:textId="77777777" w:rsidR="00C41088" w:rsidRPr="00B067FD" w:rsidRDefault="00C41088">
            <w:pPr>
              <w:pStyle w:val="Accessibilitytext"/>
              <w:rPr>
                <w:lang w:val="en-AU"/>
              </w:rPr>
            </w:pPr>
            <w:r w:rsidRPr="00B067FD">
              <w:rPr>
                <w:lang w:val="en-AU"/>
              </w:rPr>
              <w:t xml:space="preserve">If you have difficulty reading a standard printed document and would like an alternative format, please phone 13 22 81. </w:t>
            </w:r>
          </w:p>
        </w:tc>
      </w:tr>
      <w:tr w:rsidR="002F57F0" w:rsidRPr="00B067FD" w14:paraId="6CAB3FF6" w14:textId="77777777" w:rsidTr="00B7238C">
        <w:tc>
          <w:tcPr>
            <w:tcW w:w="9115" w:type="dxa"/>
            <w:hideMark/>
          </w:tcPr>
          <w:p w14:paraId="6CAB3FF4" w14:textId="77777777" w:rsidR="00C41088" w:rsidRPr="00B067FD" w:rsidRDefault="00C41088">
            <w:pPr>
              <w:pStyle w:val="Accessibilitytext"/>
              <w:rPr>
                <w:rStyle w:val="AccessibilityLgtext"/>
                <w:b w:val="0"/>
                <w:bCs w:val="0"/>
                <w:lang w:val="en-AU"/>
              </w:rPr>
            </w:pPr>
            <w:r w:rsidRPr="00B067FD">
              <w:rPr>
                <w:noProof/>
                <w:lang w:val="en-AU"/>
              </w:rPr>
              <w:drawing>
                <wp:anchor distT="0" distB="0" distL="114300" distR="114300" simplePos="0" relativeHeight="251658240" behindDoc="0" locked="0" layoutInCell="1" allowOverlap="1" wp14:anchorId="6CAB3FFC" wp14:editId="6CAB3FFD">
                  <wp:simplePos x="0" y="0"/>
                  <wp:positionH relativeFrom="column">
                    <wp:posOffset>-3810</wp:posOffset>
                  </wp:positionH>
                  <wp:positionV relativeFrom="paragraph">
                    <wp:posOffset>3810</wp:posOffset>
                  </wp:positionV>
                  <wp:extent cx="464185" cy="464185"/>
                  <wp:effectExtent l="0" t="0" r="0" b="0"/>
                  <wp:wrapSquare wrapText="bothSides"/>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pic:spPr>
                      </pic:pic>
                    </a:graphicData>
                  </a:graphic>
                  <wp14:sizeRelH relativeFrom="page">
                    <wp14:pctWidth>0</wp14:pctWidth>
                  </wp14:sizeRelH>
                  <wp14:sizeRelV relativeFrom="page">
                    <wp14:pctHeight>0</wp14:pctHeight>
                  </wp14:sizeRelV>
                </wp:anchor>
              </w:drawing>
            </w:r>
            <w:r w:rsidRPr="00B067FD">
              <w:rPr>
                <w:rStyle w:val="AccessibilityLgtext"/>
                <w:lang w:val="en-AU"/>
              </w:rPr>
              <w:t>If English is not your first language and you need the Translating and Interpreting Service (TIS), please call 13 14 50.</w:t>
            </w:r>
          </w:p>
          <w:p w14:paraId="6CAB3FF5" w14:textId="77777777" w:rsidR="00C41088" w:rsidRPr="00B067FD" w:rsidRDefault="00C41088">
            <w:pPr>
              <w:pStyle w:val="Accessibilitytext"/>
              <w:rPr>
                <w:lang w:val="en-AU"/>
              </w:rPr>
            </w:pPr>
            <w:r w:rsidRPr="00B067FD">
              <w:rPr>
                <w:rStyle w:val="AccessibilityLgtext"/>
                <w:lang w:val="en-AU"/>
              </w:rPr>
              <w:t>For further accessibility information, visit: www.health.act.gov.au/accessibility</w:t>
            </w:r>
          </w:p>
        </w:tc>
      </w:tr>
      <w:tr w:rsidR="002F57F0" w:rsidRPr="00B067FD" w14:paraId="6CAB3FF8" w14:textId="77777777" w:rsidTr="00B7238C">
        <w:tc>
          <w:tcPr>
            <w:tcW w:w="9115" w:type="dxa"/>
            <w:hideMark/>
          </w:tcPr>
          <w:p w14:paraId="6CAB3FF7" w14:textId="77777777" w:rsidR="00C41088" w:rsidRPr="00B067FD" w:rsidRDefault="00C41088">
            <w:pPr>
              <w:pStyle w:val="Accessibilitytext"/>
              <w:rPr>
                <w:lang w:val="en-AU"/>
              </w:rPr>
            </w:pPr>
            <w:r w:rsidRPr="00B067FD">
              <w:rPr>
                <w:lang w:val="en-AU"/>
              </w:rPr>
              <w:t xml:space="preserve">www.health.act.gov.au | Phone: 132281 </w:t>
            </w:r>
          </w:p>
        </w:tc>
      </w:tr>
      <w:tr w:rsidR="002F57F0" w:rsidRPr="00B067FD" w14:paraId="6CAB3FFA" w14:textId="77777777" w:rsidTr="00B7238C">
        <w:tc>
          <w:tcPr>
            <w:tcW w:w="9115" w:type="dxa"/>
            <w:tcBorders>
              <w:top w:val="nil"/>
              <w:left w:val="nil"/>
              <w:bottom w:val="single" w:sz="4" w:space="0" w:color="282828"/>
              <w:right w:val="nil"/>
            </w:tcBorders>
            <w:hideMark/>
          </w:tcPr>
          <w:p w14:paraId="6CAB3FF9" w14:textId="77777777" w:rsidR="00C41088" w:rsidRPr="00B067FD" w:rsidRDefault="00C41088">
            <w:pPr>
              <w:pStyle w:val="Accessibilitytext"/>
              <w:rPr>
                <w:lang w:val="en-AU"/>
              </w:rPr>
            </w:pPr>
            <w:r w:rsidRPr="00B067FD">
              <w:rPr>
                <w:lang w:val="en-AU"/>
              </w:rPr>
              <w:t>© Australian Capital Territory, Canberra</w:t>
            </w:r>
          </w:p>
        </w:tc>
      </w:tr>
    </w:tbl>
    <w:p w14:paraId="6CAB3FFB" w14:textId="77777777" w:rsidR="00C41088" w:rsidRPr="00B067FD" w:rsidRDefault="00C41088" w:rsidP="00FE3396">
      <w:pPr>
        <w:pStyle w:val="Compact"/>
        <w:rPr>
          <w:sz w:val="20"/>
          <w:szCs w:val="20"/>
        </w:rPr>
      </w:pPr>
    </w:p>
    <w:sectPr w:rsidR="002F57F0" w:rsidRPr="00B067FD" w:rsidSect="00A22B36">
      <w:headerReference w:type="default" r:id="rId14"/>
      <w:footerReference w:type="default" r:id="rId15"/>
      <w:type w:val="continuous"/>
      <w:pgSz w:w="15840" w:h="12240" w:orient="landscape"/>
      <w:pgMar w:top="1985" w:right="1304" w:bottom="1440" w:left="130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B4004" w14:textId="77777777" w:rsidR="00C41088" w:rsidRDefault="00C41088">
      <w:pPr>
        <w:spacing w:after="0"/>
      </w:pPr>
      <w:r>
        <w:separator/>
      </w:r>
    </w:p>
  </w:endnote>
  <w:endnote w:type="continuationSeparator" w:id="0">
    <w:p w14:paraId="6CAB4006" w14:textId="77777777" w:rsidR="00C41088" w:rsidRDefault="00C410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3FFF" w14:textId="35C16EB3" w:rsidR="00C41088" w:rsidRDefault="00C41088">
    <w:pPr>
      <w:pStyle w:val="Footer"/>
    </w:pPr>
    <w:r>
      <w:t xml:space="preserve">ACT Cause </w:t>
    </w:r>
    <w:proofErr w:type="gramStart"/>
    <w:r>
      <w:t>Of</w:t>
    </w:r>
    <w:proofErr w:type="gramEnd"/>
    <w:r>
      <w:t xml:space="preserve"> Death Unit Record File (CODURF) - Version 4: 26/02/2025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B4000" w14:textId="77777777" w:rsidR="00C41088" w:rsidRDefault="00C41088">
      <w:pPr>
        <w:spacing w:after="0"/>
      </w:pPr>
      <w:r>
        <w:separator/>
      </w:r>
    </w:p>
  </w:footnote>
  <w:footnote w:type="continuationSeparator" w:id="0">
    <w:p w14:paraId="6CAB4002" w14:textId="77777777" w:rsidR="00C41088" w:rsidRDefault="00C410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3FFE" w14:textId="77777777" w:rsidR="00C41088" w:rsidRDefault="00C41088">
    <w:pPr>
      <w:pStyle w:val="Header"/>
    </w:pPr>
    <w:r>
      <w:rPr>
        <w:noProof/>
      </w:rPr>
      <w:drawing>
        <wp:anchor distT="0" distB="0" distL="114300" distR="114300" simplePos="0" relativeHeight="251656704" behindDoc="0" locked="0" layoutInCell="1" allowOverlap="1" wp14:anchorId="6CAB4000" wp14:editId="6CAB4001">
          <wp:simplePos x="0" y="0"/>
          <wp:positionH relativeFrom="column">
            <wp:posOffset>7239000</wp:posOffset>
          </wp:positionH>
          <wp:positionV relativeFrom="paragraph">
            <wp:posOffset>-219075</wp:posOffset>
          </wp:positionV>
          <wp:extent cx="1163320" cy="600075"/>
          <wp:effectExtent l="0" t="0" r="0" b="0"/>
          <wp:wrapSquare wrapText="bothSides"/>
          <wp:docPr id="3" name="Picture 1">
            <a:extLst xmlns:a="http://schemas.openxmlformats.org/drawingml/2006/main">
              <a:ext uri="{FF2B5EF4-FFF2-40B4-BE49-F238E27FC236}">
                <a16:creationId xmlns:a16="http://schemas.microsoft.com/office/drawing/2014/main" id="{9D6B0ECA-0EED-42E1-A91F-D9E61176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9D6B0ECA-0EED-42E1-A91F-D9E61176B38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00075"/>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6CAB4002" wp14:editId="6CAB4003">
              <wp:simplePos x="0" y="0"/>
              <wp:positionH relativeFrom="margin">
                <wp:posOffset>0</wp:posOffset>
              </wp:positionH>
              <wp:positionV relativeFrom="paragraph">
                <wp:posOffset>-311150</wp:posOffset>
              </wp:positionV>
              <wp:extent cx="5629275" cy="840105"/>
              <wp:effectExtent l="0" t="3175"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B4006" w14:textId="77777777" w:rsidR="00C41088" w:rsidRPr="00B844F9" w:rsidRDefault="00C41088"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 xml:space="preserve">Data Analytics Branch: </w:t>
                          </w:r>
                          <w:r w:rsidRPr="00593854">
                            <w:rPr>
                              <w:rFonts w:ascii="Aptos" w:hAnsi="Aptos" w:cs="Arial"/>
                              <w:b/>
                              <w:bCs/>
                              <w:color w:val="FFFFFF" w:themeColor="background1"/>
                              <w:sz w:val="22"/>
                              <w:szCs w:val="22"/>
                            </w:rPr>
                            <w:t>Epidemiology Section</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ECC85" id="_x0000_t202" coordsize="21600,21600" o:spt="202" path="m,l,21600r21600,l21600,xe">
              <v:stroke joinstyle="miter"/>
              <v:path gradientshapeok="t" o:connecttype="rect"/>
            </v:shapetype>
            <v:shape id="Text Box 2" o:spid="_x0000_s1026" type="#_x0000_t202" style="position:absolute;margin-left:0;margin-top:-24.5pt;width:443.25pt;height:66.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" filled="f" stroked="f">
              <v:textbox inset="0,,0">
                <w:txbxContent>
                  <w:p w14:paraId="7067E212" w14:textId="49FB98B6" w:rsidR="00D34B58" w:rsidRPr="00B844F9" w:rsidRDefault="00B844F9"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sidR="00C30C2E">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v:textbox>
              <w10:wrap type="square" anchorx="margin"/>
            </v:shape>
          </w:pict>
        </mc:Fallback>
      </mc:AlternateContent>
    </w:r>
    <w:r>
      <w:rPr>
        <w:noProof/>
      </w:rPr>
      <mc:AlternateContent>
        <mc:Choice Requires="wps">
          <w:drawing>
            <wp:anchor distT="0" distB="0" distL="114300" distR="114300" simplePos="0" relativeHeight="251655679" behindDoc="0" locked="0" layoutInCell="1" allowOverlap="1" wp14:anchorId="6CAB4004" wp14:editId="6CAB4005">
              <wp:simplePos x="0" y="0"/>
              <wp:positionH relativeFrom="page">
                <wp:posOffset>-9525</wp:posOffset>
              </wp:positionH>
              <wp:positionV relativeFrom="paragraph">
                <wp:posOffset>-463550</wp:posOffset>
              </wp:positionV>
              <wp:extent cx="10687050" cy="1043305"/>
              <wp:effectExtent l="0" t="3175" r="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104330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AD11D" id="Rectangle 1" o:spid="_x0000_s1026" style="position:absolute;margin-left:-.75pt;margin-top:-36.5pt;width:841.5pt;height:82.1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" fillcolor="#002677 [3204]"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FC211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2047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A2"/>
    <w:rsid w:val="00372BA2"/>
    <w:rsid w:val="00825762"/>
    <w:rsid w:val="00C41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3E34"/>
  <w15:docId w15:val="{0687B63E-AC04-44CF-A30A-6C5FE4E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A2"/>
    <w:rPr>
      <w:rFonts w:ascii="Arial" w:hAnsi="Arial"/>
      <w:lang w:val="en-AU"/>
    </w:rPr>
  </w:style>
  <w:style w:type="paragraph" w:styleId="Heading1">
    <w:name w:val="heading 1"/>
    <w:basedOn w:val="Normal"/>
    <w:next w:val="BodyText"/>
    <w:uiPriority w:val="9"/>
    <w:qFormat/>
    <w:rsid w:val="00237A5D"/>
    <w:pPr>
      <w:keepNext/>
      <w:keepLines/>
      <w:shd w:val="clear" w:color="auto" w:fill="E4F6F9" w:themeFill="accent2" w:themeFillTint="33"/>
      <w:spacing w:before="240" w:after="120"/>
      <w:outlineLvl w:val="0"/>
    </w:pPr>
    <w:rPr>
      <w:rFonts w:eastAsiaTheme="majorEastAsia" w:cs="Arial"/>
      <w:b/>
      <w:bCs/>
      <w:color w:val="002677" w:themeColor="accent1"/>
    </w:rPr>
  </w:style>
  <w:style w:type="paragraph" w:styleId="Heading2">
    <w:name w:val="heading 2"/>
    <w:basedOn w:val="Normal"/>
    <w:next w:val="BodyText"/>
    <w:uiPriority w:val="9"/>
    <w:unhideWhenUsed/>
    <w:qFormat/>
    <w:rsid w:val="00237A5D"/>
    <w:pPr>
      <w:keepNext/>
      <w:keepLines/>
      <w:spacing w:before="240" w:after="120"/>
      <w:outlineLvl w:val="1"/>
    </w:pPr>
    <w:rPr>
      <w:rFonts w:eastAsiaTheme="majorEastAsia" w:cs="Arial"/>
      <w:b/>
      <w:bCs/>
      <w:color w:val="31BED1" w:themeColor="accent2" w:themeShade="BF"/>
      <w:sz w:val="22"/>
      <w:szCs w:val="22"/>
    </w:rPr>
  </w:style>
  <w:style w:type="paragraph" w:styleId="Heading3">
    <w:name w:val="heading 3"/>
    <w:basedOn w:val="Normal"/>
    <w:next w:val="BodyText"/>
    <w:uiPriority w:val="9"/>
    <w:unhideWhenUsed/>
    <w:qFormat/>
    <w:rsid w:val="00585FFC"/>
    <w:pPr>
      <w:keepNext/>
      <w:keepLines/>
      <w:spacing w:before="200" w:after="0"/>
      <w:outlineLvl w:val="2"/>
    </w:pPr>
    <w:rPr>
      <w:rFonts w:asciiTheme="majorHAnsi" w:eastAsiaTheme="majorEastAsia" w:hAnsiTheme="majorHAnsi" w:cstheme="majorBidi"/>
      <w:b/>
      <w:bCs/>
      <w:color w:val="CF1F25" w:themeColor="accent5"/>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002677"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002677"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02677"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02677"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02677"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026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A2B46"/>
    <w:pPr>
      <w:keepNext/>
      <w:keepLines/>
      <w:spacing w:before="240" w:after="240"/>
    </w:pPr>
    <w:rPr>
      <w:rFonts w:eastAsiaTheme="majorEastAsia" w:cs="Arial"/>
      <w:b/>
      <w:bCs/>
      <w:color w:val="002677" w:themeColor="accent1"/>
      <w:sz w:val="32"/>
      <w:szCs w:val="44"/>
    </w:rPr>
  </w:style>
  <w:style w:type="paragraph" w:styleId="Subtitle">
    <w:name w:val="Subtitle"/>
    <w:basedOn w:val="Title"/>
    <w:next w:val="BodyText"/>
    <w:qFormat/>
    <w:rPr>
      <w:sz w:val="30"/>
      <w:szCs w:val="30"/>
    </w:rPr>
  </w:style>
  <w:style w:type="paragraph" w:customStyle="1" w:styleId="Author">
    <w:name w:val="Author"/>
    <w:next w:val="BodyText"/>
    <w:qFormat/>
    <w:rsid w:val="008C1736"/>
    <w:pPr>
      <w:keepNext/>
      <w:keepLines/>
    </w:pPr>
    <w:rPr>
      <w:rFonts w:ascii="Arial" w:hAnsi="Arial" w:cs="Arial"/>
    </w:rPr>
  </w:style>
  <w:style w:type="paragraph" w:styleId="Date">
    <w:name w:val="Date"/>
    <w:next w:val="BodyText"/>
    <w:qFormat/>
    <w:rsid w:val="008C1736"/>
    <w:pPr>
      <w:keepNext/>
      <w:keepLines/>
    </w:pPr>
    <w:rPr>
      <w:rFonts w:ascii="Arial" w:hAnsi="Arial" w:cs="Arial"/>
      <w:sz w:val="18"/>
      <w:szCs w:val="18"/>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002677" w:themeColor="accent1"/>
    </w:rPr>
  </w:style>
  <w:style w:type="paragraph" w:styleId="TOCHeading">
    <w:name w:val="TOC Heading"/>
    <w:basedOn w:val="Heading1"/>
    <w:next w:val="BodyText"/>
    <w:uiPriority w:val="39"/>
    <w:unhideWhenUsed/>
    <w:qFormat/>
    <w:pPr>
      <w:spacing w:line="259" w:lineRule="auto"/>
      <w:outlineLvl w:val="9"/>
    </w:pPr>
    <w:rPr>
      <w:b w:val="0"/>
      <w:bCs w:val="0"/>
      <w:color w:val="001C59"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304DBF"/>
    <w:pPr>
      <w:tabs>
        <w:tab w:val="center" w:pos="4513"/>
        <w:tab w:val="right" w:pos="9026"/>
      </w:tabs>
      <w:spacing w:after="0"/>
    </w:pPr>
  </w:style>
  <w:style w:type="character" w:customStyle="1" w:styleId="HeaderChar">
    <w:name w:val="Header Char"/>
    <w:basedOn w:val="DefaultParagraphFont"/>
    <w:link w:val="Header"/>
    <w:rsid w:val="00304DBF"/>
  </w:style>
  <w:style w:type="paragraph" w:styleId="Footer">
    <w:name w:val="footer"/>
    <w:basedOn w:val="Normal"/>
    <w:link w:val="FooterChar"/>
    <w:rsid w:val="007F2484"/>
    <w:pPr>
      <w:tabs>
        <w:tab w:val="center" w:pos="4513"/>
        <w:tab w:val="right" w:pos="9026"/>
      </w:tabs>
      <w:spacing w:after="0"/>
    </w:pPr>
    <w:rPr>
      <w:color w:val="002677" w:themeColor="accent1"/>
      <w:sz w:val="16"/>
    </w:rPr>
  </w:style>
  <w:style w:type="character" w:customStyle="1" w:styleId="FooterChar">
    <w:name w:val="Footer Char"/>
    <w:basedOn w:val="DefaultParagraphFont"/>
    <w:link w:val="Footer"/>
    <w:rsid w:val="007F2484"/>
    <w:rPr>
      <w:rFonts w:ascii="Arial" w:hAnsi="Arial"/>
      <w:color w:val="002677" w:themeColor="accent1"/>
      <w:sz w:val="16"/>
    </w:rPr>
  </w:style>
  <w:style w:type="character" w:styleId="UnresolvedMention">
    <w:name w:val="Unresolved Mention"/>
    <w:basedOn w:val="DefaultParagraphFont"/>
    <w:uiPriority w:val="99"/>
    <w:semiHidden/>
    <w:unhideWhenUsed/>
    <w:rsid w:val="00B93D32"/>
    <w:rPr>
      <w:color w:val="605E5C"/>
      <w:shd w:val="clear" w:color="auto" w:fill="E1DFDD"/>
    </w:rPr>
  </w:style>
  <w:style w:type="table" w:styleId="TableGrid">
    <w:name w:val="Table Grid"/>
    <w:basedOn w:val="TableNormal"/>
    <w:rsid w:val="00FE33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text">
    <w:name w:val="Accessibility text"/>
    <w:basedOn w:val="Normal"/>
    <w:uiPriority w:val="99"/>
    <w:rsid w:val="002F57F0"/>
    <w:pPr>
      <w:suppressAutoHyphens/>
      <w:autoSpaceDE w:val="0"/>
      <w:autoSpaceDN w:val="0"/>
      <w:adjustRightInd w:val="0"/>
      <w:spacing w:after="57" w:line="180" w:lineRule="atLeast"/>
    </w:pPr>
    <w:rPr>
      <w:rFonts w:ascii="Calibri" w:eastAsia="Calibri" w:hAnsi="Calibri" w:cs="Arial"/>
      <w:color w:val="323232"/>
      <w:sz w:val="18"/>
      <w:szCs w:val="18"/>
      <w:lang w:val="en-GB"/>
    </w:rPr>
  </w:style>
  <w:style w:type="paragraph" w:customStyle="1" w:styleId="AOCheading">
    <w:name w:val="AOC heading"/>
    <w:basedOn w:val="Normal"/>
    <w:qFormat/>
    <w:rsid w:val="00A921FF"/>
    <w:pPr>
      <w:spacing w:before="120" w:after="60"/>
    </w:pPr>
    <w:rPr>
      <w:rFonts w:ascii="Calibri" w:eastAsia="Calibri" w:hAnsi="Calibri" w:cs="Times New Roman"/>
      <w:b/>
      <w:bCs/>
      <w:sz w:val="22"/>
      <w:szCs w:val="22"/>
    </w:rPr>
  </w:style>
  <w:style w:type="character" w:customStyle="1" w:styleId="AccessibilityLgtext">
    <w:name w:val="Accessibility Lg text"/>
    <w:uiPriority w:val="99"/>
    <w:rsid w:val="002F57F0"/>
    <w:rPr>
      <w:b/>
      <w:bCs/>
      <w:sz w:val="20"/>
      <w:szCs w:val="20"/>
    </w:rPr>
  </w:style>
  <w:style w:type="table" w:customStyle="1" w:styleId="AccessibilityTable">
    <w:name w:val="Accessibility Table"/>
    <w:basedOn w:val="TableNormal"/>
    <w:uiPriority w:val="99"/>
    <w:rsid w:val="002F57F0"/>
    <w:pPr>
      <w:spacing w:after="0"/>
    </w:pPr>
    <w:rPr>
      <w:rFonts w:ascii="Calibri" w:eastAsia="Calibri" w:hAnsi="Calibri" w:cs="Times New Roman"/>
      <w:sz w:val="20"/>
      <w:szCs w:val="20"/>
      <w:lang w:val="en-AU" w:eastAsia="en-AU"/>
    </w:rPr>
    <w:tblPr>
      <w:tblInd w:w="0" w:type="nil"/>
    </w:tblPr>
    <w:tcPr>
      <w:shd w:val="clear" w:color="auto" w:fill="F2F2F2" w:themeFill="background1" w:themeFillShade="F2"/>
    </w:tcPr>
    <w:tblStylePr w:type="firstRow">
      <w:tblPr/>
      <w:tcPr>
        <w:shd w:val="clear" w:color="auto" w:fill="F2EAA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92232">
      <w:bodyDiv w:val="1"/>
      <w:marLeft w:val="0"/>
      <w:marRight w:val="0"/>
      <w:marTop w:val="0"/>
      <w:marBottom w:val="0"/>
      <w:divBdr>
        <w:top w:val="none" w:sz="0" w:space="0" w:color="auto"/>
        <w:left w:val="none" w:sz="0" w:space="0" w:color="auto"/>
        <w:bottom w:val="none" w:sz="0" w:space="0" w:color="auto"/>
        <w:right w:val="none" w:sz="0" w:space="0" w:color="auto"/>
      </w:divBdr>
    </w:div>
    <w:div w:id="171056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health.atlassian.net/servicedesk/customer/porta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info@act.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2024">
      <a:dk1>
        <a:sysClr val="windowText" lastClr="000000"/>
      </a:dk1>
      <a:lt1>
        <a:sysClr val="window" lastClr="FFFFFF"/>
      </a:lt1>
      <a:dk2>
        <a:srgbClr val="343742"/>
      </a:dk2>
      <a:lt2>
        <a:srgbClr val="E7E6E6"/>
      </a:lt2>
      <a:accent1>
        <a:srgbClr val="002677"/>
      </a:accent1>
      <a:accent2>
        <a:srgbClr val="78D5E1"/>
      </a:accent2>
      <a:accent3>
        <a:srgbClr val="E0CC21"/>
      </a:accent3>
      <a:accent4>
        <a:srgbClr val="F36C23"/>
      </a:accent4>
      <a:accent5>
        <a:srgbClr val="CF1F25"/>
      </a:accent5>
      <a:accent6>
        <a:srgbClr val="A0C13B"/>
      </a:accent6>
      <a:hlink>
        <a:srgbClr val="23397E"/>
      </a:hlink>
      <a:folHlink>
        <a:srgbClr val="AB43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3BE6547C5F4B4480635010AF4EB74D" ma:contentTypeVersion="12" ma:contentTypeDescription="Create a new document." ma:contentTypeScope="" ma:versionID="56b03d8a0b6cc0128ee33d3869fed8b8">
  <xsd:schema xmlns:xsd="http://www.w3.org/2001/XMLSchema" xmlns:xs="http://www.w3.org/2001/XMLSchema" xmlns:p="http://schemas.microsoft.com/office/2006/metadata/properties" xmlns:ns2="88138241-58ca-4590-8796-5aa76ce94de1" xmlns:ns3="0f11b0bb-bfc0-45c8-ad08-a277c3e067fc" targetNamespace="http://schemas.microsoft.com/office/2006/metadata/properties" ma:root="true" ma:fieldsID="89ce50b060bf796956efabe875b6a473" ns2:_="" ns3:_="">
    <xsd:import namespace="88138241-58ca-4590-8796-5aa76ce94de1"/>
    <xsd:import namespace="0f11b0bb-bfc0-45c8-ad08-a277c3e06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8241-58ca-4590-8796-5aa76ce9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1b0bb-bfc0-45c8-ad08-a277c3e06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063aad-0432-4c63-8973-c70d193f0ca1}" ma:internalName="TaxCatchAll" ma:showField="CatchAllData" ma:web="0f11b0bb-bfc0-45c8-ad08-a277c3e0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11b0bb-bfc0-45c8-ad08-a277c3e067fc" xsi:nil="true"/>
    <lcf76f155ced4ddcb4097134ff3c332f xmlns="88138241-58ca-4590-8796-5aa76ce94d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FD90C-7A7C-4D3E-9BB7-3F15C2515504}">
  <ds:schemaRefs>
    <ds:schemaRef ds:uri="http://schemas.openxmlformats.org/officeDocument/2006/bibliography"/>
  </ds:schemaRefs>
</ds:datastoreItem>
</file>

<file path=customXml/itemProps2.xml><?xml version="1.0" encoding="utf-8"?>
<ds:datastoreItem xmlns:ds="http://schemas.openxmlformats.org/officeDocument/2006/customXml" ds:itemID="{B697EDAB-B213-4FD0-9892-A064339B8930}"/>
</file>

<file path=customXml/itemProps3.xml><?xml version="1.0" encoding="utf-8"?>
<ds:datastoreItem xmlns:ds="http://schemas.openxmlformats.org/officeDocument/2006/customXml" ds:itemID="{F91DDBE0-F980-4231-AADE-BA90C0A4144A}">
  <ds:schemaRefs>
    <ds:schemaRef ds:uri="http://schemas.microsoft.com/office/2006/metadata/properties"/>
    <ds:schemaRef ds:uri="http://schemas.microsoft.com/office/infopath/2007/PartnerControls"/>
    <ds:schemaRef ds:uri="e2f4fea6-48eb-4aba-870e-ab9d9117d398"/>
  </ds:schemaRefs>
</ds:datastoreItem>
</file>

<file path=customXml/itemProps4.xml><?xml version="1.0" encoding="utf-8"?>
<ds:datastoreItem xmlns:ds="http://schemas.openxmlformats.org/officeDocument/2006/customXml" ds:itemID="{211A9B42-084B-4921-BE25-E632D6B3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Untitled</vt:lpstr>
    </vt:vector>
  </TitlesOfParts>
  <Company>ACT Government</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Epidemiology Section, ACT Health | July, 2023</dc:creator>
  <cp:keywords/>
  <cp:lastModifiedBy>Holroyd, Warren</cp:lastModifiedBy>
  <cp:revision>7</cp:revision>
  <dcterms:created xsi:type="dcterms:W3CDTF">2024-07-14T02:53:00Z</dcterms:created>
  <dcterms:modified xsi:type="dcterms:W3CDTF">2025-08-11T23:47:00Z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ate">
    <vt:lpwstr>2024-05-13</vt:lpwstr>
  </property>
  <property fmtid="{D5CDD505-2E9C-101B-9397-08002B2CF9AE}" pid="3" name="output">
    <vt:lpwstr/>
  </property>
  <property fmtid="{D5CDD505-2E9C-101B-9397-08002B2CF9AE}" pid="4" name="MSIP_Label_76a44f01-6907-4156-9b79-a71e6c56ad93_ActionId">
    <vt:lpwstr>67e8e042-c5fd-45ed-b65a-a253c52b5574</vt:lpwstr>
  </property>
  <property fmtid="{D5CDD505-2E9C-101B-9397-08002B2CF9AE}" pid="5" name="MSIP_Label_76a44f01-6907-4156-9b79-a71e6c56ad93_Name">
    <vt:lpwstr>OFFICIAL</vt:lpwstr>
  </property>
  <property fmtid="{D5CDD505-2E9C-101B-9397-08002B2CF9AE}" pid="6" name="MSIP_Label_76a44f01-6907-4156-9b79-a71e6c56ad93_SetDate">
    <vt:lpwstr>2025-08-13T01:19:52Z</vt:lpwstr>
  </property>
  <property fmtid="{D5CDD505-2E9C-101B-9397-08002B2CF9AE}" pid="7" name="MSIP_Label_76a44f01-6907-4156-9b79-a71e6c56ad93_SiteId">
    <vt:lpwstr>a687a7bf-02db-43df-bcbb-e7a8bda611a2</vt:lpwstr>
  </property>
  <property fmtid="{D5CDD505-2E9C-101B-9397-08002B2CF9AE}" pid="8" name="MSIP_Label_76a44f01-6907-4156-9b79-a71e6c56ad93_Enabled">
    <vt:lpwstr>True</vt:lpwstr>
  </property>
  <property fmtid="{D5CDD505-2E9C-101B-9397-08002B2CF9AE}" pid="9" name="ContentTypeId">
    <vt:lpwstr>0x0101003A3BE6547C5F4B4480635010AF4EB74D</vt:lpwstr>
  </property>
  <property fmtid="{D5CDD505-2E9C-101B-9397-08002B2CF9AE}" pid="10" name="MSIP_Label_76a44f01-6907-4156-9b79-a71e6c56ad93_Removed">
    <vt:lpwstr>False</vt:lpwstr>
  </property>
  <property fmtid="{D5CDD505-2E9C-101B-9397-08002B2CF9AE}" pid="11" name="MSIP_Label_76a44f01-6907-4156-9b79-a71e6c56ad93_Extended_MSFT_Method">
    <vt:lpwstr>Standard</vt:lpwstr>
  </property>
  <property fmtid="{D5CDD505-2E9C-101B-9397-08002B2CF9AE}" pid="12" name="Sensitivity">
    <vt:lpwstr>OFFICIAL</vt:lpwstr>
  </property>
</Properties>
</file>